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600" w:lineRule="exact"/>
        <w:jc w:val="left"/>
        <w:outlineLvl w:val="0"/>
        <w:rPr>
          <w:rFonts w:ascii="方正小标宋简体" w:hAnsi="宋体" w:eastAsia="方正小标宋简体"/>
          <w:color w:val="auto"/>
          <w:sz w:val="21"/>
          <w:szCs w:val="21"/>
          <w:highlight w:val="none"/>
        </w:rPr>
      </w:pPr>
      <w:bookmarkStart w:id="0" w:name="_Toc15306267"/>
    </w:p>
    <w:p>
      <w:pPr>
        <w:shd w:val="clear"/>
        <w:spacing w:line="600" w:lineRule="exact"/>
        <w:jc w:val="center"/>
        <w:outlineLvl w:val="0"/>
        <w:rPr>
          <w:rFonts w:ascii="方正小标宋简体" w:hAnsi="宋体" w:eastAsia="方正小标宋简体"/>
          <w:color w:val="auto"/>
          <w:sz w:val="72"/>
          <w:szCs w:val="72"/>
          <w:highlight w:val="none"/>
        </w:rPr>
      </w:pPr>
    </w:p>
    <w:p>
      <w:pPr>
        <w:shd w:val="clear"/>
        <w:spacing w:line="600" w:lineRule="exact"/>
        <w:jc w:val="center"/>
        <w:outlineLvl w:val="0"/>
        <w:rPr>
          <w:rFonts w:ascii="方正小标宋简体" w:hAnsi="宋体" w:eastAsia="方正小标宋简体"/>
          <w:color w:val="auto"/>
          <w:sz w:val="72"/>
          <w:szCs w:val="72"/>
          <w:highlight w:val="none"/>
        </w:rPr>
      </w:pPr>
    </w:p>
    <w:p>
      <w:pPr>
        <w:shd w:val="clea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193"/>
      <w:bookmarkStart w:id="2" w:name="_Toc15378441"/>
      <w:bookmarkStart w:id="3" w:name="_Toc15396475"/>
      <w:bookmarkStart w:id="4" w:name="_Toc15396597"/>
      <w:bookmarkStart w:id="5" w:name="_Toc1537742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shd w:val="clea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8442"/>
      <w:bookmarkStart w:id="7" w:name="_Toc15377194"/>
      <w:bookmarkStart w:id="8" w:name="_Toc15396476"/>
      <w:bookmarkStart w:id="9" w:name="_Toc15377426"/>
      <w:bookmarkStart w:id="10" w:name="_Toc15396598"/>
      <w:r>
        <w:rPr>
          <w:rFonts w:hint="eastAsia" w:ascii="方正小标宋简体" w:hAnsi="方正小标宋简体" w:eastAsia="方正小标宋简体" w:cs="方正小标宋简体"/>
          <w:color w:val="auto"/>
          <w:sz w:val="72"/>
          <w:szCs w:val="72"/>
          <w:highlight w:val="none"/>
          <w:lang w:eastAsia="zh-CN"/>
        </w:rPr>
        <w:t>广元市</w:t>
      </w:r>
      <w:bookmarkEnd w:id="0"/>
      <w:bookmarkStart w:id="11" w:name="_Toc15306268"/>
      <w:r>
        <w:rPr>
          <w:rFonts w:hint="eastAsia" w:ascii="方正小标宋简体" w:hAnsi="宋体" w:eastAsia="方正小标宋简体"/>
          <w:color w:val="auto"/>
          <w:sz w:val="72"/>
          <w:szCs w:val="72"/>
          <w:highlight w:val="none"/>
        </w:rPr>
        <w:t>防震减灾服务中心</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pStyle w:val="7"/>
        <w:shd w:val="clear"/>
        <w:rPr>
          <w:rFonts w:hint="eastAsia" w:ascii="方正小标宋简体" w:hAnsi="方正小标宋简体" w:eastAsia="方正小标宋简体" w:cs="方正小标宋简体"/>
          <w:color w:val="auto"/>
          <w:sz w:val="72"/>
          <w:szCs w:val="72"/>
          <w:highlight w:val="none"/>
        </w:rPr>
      </w:pPr>
    </w:p>
    <w:p>
      <w:pPr>
        <w:pStyle w:val="7"/>
        <w:shd w:val="clear"/>
        <w:rPr>
          <w:rFonts w:hint="eastAsia" w:ascii="方正小标宋简体" w:hAnsi="方正小标宋简体" w:eastAsia="方正小标宋简体" w:cs="方正小标宋简体"/>
          <w:color w:val="auto"/>
          <w:sz w:val="72"/>
          <w:szCs w:val="72"/>
          <w:highlight w:val="none"/>
        </w:rPr>
      </w:pPr>
    </w:p>
    <w:p>
      <w:pPr>
        <w:pStyle w:val="7"/>
        <w:shd w:val="clear"/>
        <w:rPr>
          <w:rFonts w:hint="eastAsia" w:ascii="方正小标宋简体" w:hAnsi="方正小标宋简体" w:eastAsia="方正小标宋简体" w:cs="方正小标宋简体"/>
          <w:color w:val="auto"/>
          <w:sz w:val="72"/>
          <w:szCs w:val="72"/>
          <w:highlight w:val="none"/>
        </w:rPr>
      </w:pPr>
    </w:p>
    <w:p>
      <w:pPr>
        <w:pStyle w:val="7"/>
        <w:shd w:val="clear"/>
        <w:rPr>
          <w:rFonts w:hint="eastAsia" w:ascii="方正小标宋简体" w:hAnsi="方正小标宋简体" w:eastAsia="方正小标宋简体" w:cs="方正小标宋简体"/>
          <w:color w:val="auto"/>
          <w:sz w:val="72"/>
          <w:szCs w:val="72"/>
          <w:highlight w:val="none"/>
        </w:rPr>
      </w:pPr>
    </w:p>
    <w:p>
      <w:pPr>
        <w:pStyle w:val="7"/>
        <w:shd w:val="clear"/>
        <w:rPr>
          <w:rFonts w:hint="eastAsia" w:ascii="方正小标宋简体" w:hAnsi="方正小标宋简体" w:eastAsia="方正小标宋简体" w:cs="方正小标宋简体"/>
          <w:color w:val="auto"/>
          <w:sz w:val="72"/>
          <w:szCs w:val="72"/>
          <w:highlight w:val="none"/>
        </w:rPr>
      </w:pPr>
    </w:p>
    <w:p>
      <w:pPr>
        <w:keepNext w:val="0"/>
        <w:keepLines w:val="0"/>
        <w:pageBreakBefore w:val="0"/>
        <w:widowControl/>
        <w:shd w:val="clear"/>
        <w:kinsoku/>
        <w:wordWrap/>
        <w:overflowPunct/>
        <w:topLinePunct w:val="0"/>
        <w:autoSpaceDE/>
        <w:autoSpaceDN/>
        <w:bidi w:val="0"/>
        <w:adjustRightInd/>
        <w:snapToGrid/>
        <w:spacing w:before="157" w:beforeLines="50" w:after="157" w:afterLines="50"/>
        <w:jc w:val="center"/>
        <w:textAlignment w:val="auto"/>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pStyle w:val="12"/>
        <w:keepNext w:val="0"/>
        <w:keepLines w:val="0"/>
        <w:pageBreakBefore w:val="0"/>
        <w:widowControl w:val="0"/>
        <w:shd w:val="clear"/>
        <w:kinsoku/>
        <w:wordWrap/>
        <w:overflowPunct/>
        <w:topLinePunct w:val="0"/>
        <w:autoSpaceDE/>
        <w:autoSpaceDN/>
        <w:bidi w:val="0"/>
        <w:adjustRightInd/>
        <w:snapToGrid/>
        <w:spacing w:before="157" w:beforeLines="50" w:after="157" w:afterLines="50"/>
        <w:textAlignment w:val="auto"/>
        <w:rPr>
          <w:rFonts w:hint="eastAsia" w:eastAsia="仿宋"/>
          <w:color w:val="auto"/>
          <w:highlight w:val="none"/>
          <w:lang w:val="en-US" w:eastAsia="zh-CN"/>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 xml:space="preserve">10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pPr>
        <w:pStyle w:val="12"/>
        <w:shd w:val="clear"/>
        <w:tabs>
          <w:tab w:val="right" w:leader="dot" w:pos="8306"/>
          <w:tab w:val="clear" w:pos="8296"/>
        </w:tabs>
        <w:rPr>
          <w:color w:val="auto"/>
          <w:highlight w:val="none"/>
        </w:rPr>
      </w:pPr>
      <w:r>
        <w:rPr>
          <w:rFonts w:hint="default" w:ascii="方正小标宋简体" w:hAnsi="宋体" w:eastAsia="方正小标宋简体"/>
          <w:color w:val="auto"/>
          <w:sz w:val="36"/>
          <w:szCs w:val="36"/>
          <w:highlight w:val="none"/>
        </w:rPr>
        <w:fldChar w:fldCharType="begin"/>
      </w:r>
      <w:r>
        <w:rPr>
          <w:rFonts w:hint="default" w:ascii="方正小标宋简体" w:hAnsi="宋体" w:eastAsia="方正小标宋简体"/>
          <w:color w:val="auto"/>
          <w:sz w:val="36"/>
          <w:szCs w:val="36"/>
          <w:highlight w:val="none"/>
        </w:rPr>
        <w:instrText xml:space="preserve"> TOC \* MERGEFORMAT </w:instrText>
      </w:r>
      <w:r>
        <w:rPr>
          <w:rFonts w:hint="default" w:ascii="方正小标宋简体" w:hAnsi="宋体" w:eastAsia="方正小标宋简体"/>
          <w:color w:val="auto"/>
          <w:sz w:val="36"/>
          <w:szCs w:val="36"/>
          <w:highlight w:val="none"/>
        </w:rPr>
        <w:fldChar w:fldCharType="separate"/>
      </w:r>
      <w:r>
        <w:rPr>
          <w:rFonts w:hint="eastAsia" w:ascii="黑体" w:hAnsi="黑体" w:eastAsia="黑体"/>
          <w:color w:val="auto"/>
          <w:highlight w:val="none"/>
        </w:rPr>
        <w:t xml:space="preserve">第一部分 </w:t>
      </w:r>
      <w:r>
        <w:rPr>
          <w:rFonts w:hint="eastAsia" w:ascii="黑体" w:hAnsi="黑体" w:eastAsia="黑体"/>
          <w:color w:val="auto"/>
          <w:highlight w:val="none"/>
          <w:lang w:eastAsia="zh-CN"/>
        </w:rPr>
        <w:t>单位</w:t>
      </w:r>
      <w:r>
        <w:rPr>
          <w:rFonts w:hint="eastAsia" w:ascii="黑体" w:hAnsi="黑体" w:eastAsia="黑体"/>
          <w:bCs w:val="0"/>
          <w:color w:val="auto"/>
          <w:highlight w:val="none"/>
        </w:rPr>
        <w:t>概况</w:t>
      </w:r>
      <w:r>
        <w:rPr>
          <w:color w:val="auto"/>
          <w:highlight w:val="none"/>
        </w:rPr>
        <w:tab/>
      </w:r>
      <w:r>
        <w:rPr>
          <w:color w:val="auto"/>
          <w:highlight w:val="none"/>
        </w:rPr>
        <w:fldChar w:fldCharType="begin"/>
      </w:r>
      <w:r>
        <w:rPr>
          <w:color w:val="auto"/>
          <w:highlight w:val="none"/>
        </w:rPr>
        <w:instrText xml:space="preserve"> PAGEREF _Toc21454 \h </w:instrText>
      </w:r>
      <w:r>
        <w:rPr>
          <w:color w:val="auto"/>
          <w:highlight w:val="none"/>
        </w:rPr>
        <w:fldChar w:fldCharType="separate"/>
      </w:r>
      <w:r>
        <w:rPr>
          <w:color w:val="auto"/>
          <w:highlight w:val="none"/>
        </w:rPr>
        <w:t>3</w:t>
      </w:r>
      <w:r>
        <w:rPr>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color w:val="auto"/>
          <w:highlight w:val="none"/>
          <w:lang w:eastAsia="zh-CN"/>
        </w:rPr>
        <w:t>一、 主要职责</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 机构设置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_Toc21663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p>
    <w:p>
      <w:pPr>
        <w:pStyle w:val="12"/>
        <w:shd w:val="clear"/>
        <w:tabs>
          <w:tab w:val="right" w:leader="dot" w:pos="8306"/>
          <w:tab w:val="clear" w:pos="8296"/>
        </w:tabs>
        <w:rPr>
          <w:color w:val="auto"/>
          <w:highlight w:val="none"/>
        </w:rPr>
      </w:pPr>
      <w:r>
        <w:rPr>
          <w:rFonts w:hint="eastAsia" w:ascii="黑体" w:hAnsi="黑体" w:eastAsia="黑体"/>
          <w:bCs/>
          <w:color w:val="auto"/>
          <w:highlight w:val="none"/>
        </w:rPr>
        <w:t xml:space="preserve">第二部分 </w:t>
      </w:r>
      <w:r>
        <w:rPr>
          <w:rFonts w:hint="eastAsia" w:ascii="黑体" w:hAnsi="黑体" w:eastAsia="黑体"/>
          <w:bCs/>
          <w:color w:val="auto"/>
          <w:highlight w:val="none"/>
          <w:lang w:val="en-US" w:eastAsia="zh-CN"/>
        </w:rPr>
        <w:t>2022年度</w:t>
      </w:r>
      <w:r>
        <w:rPr>
          <w:rFonts w:hint="eastAsia" w:ascii="黑体" w:hAnsi="黑体" w:eastAsia="黑体"/>
          <w:bCs/>
          <w:color w:val="auto"/>
          <w:highlight w:val="none"/>
          <w:lang w:eastAsia="zh-CN"/>
        </w:rPr>
        <w:t>单位</w:t>
      </w:r>
      <w:r>
        <w:rPr>
          <w:rFonts w:hint="eastAsia" w:ascii="黑体" w:hAnsi="黑体" w:eastAsia="黑体"/>
          <w:bCs/>
          <w:color w:val="auto"/>
          <w:highlight w:val="none"/>
        </w:rPr>
        <w:t>决算情况说明</w:t>
      </w:r>
      <w:r>
        <w:rPr>
          <w:color w:val="auto"/>
          <w:highlight w:val="none"/>
        </w:rPr>
        <w:tab/>
      </w:r>
      <w:r>
        <w:rPr>
          <w:color w:val="auto"/>
          <w:highlight w:val="none"/>
        </w:rPr>
        <w:fldChar w:fldCharType="begin"/>
      </w:r>
      <w:r>
        <w:rPr>
          <w:color w:val="auto"/>
          <w:highlight w:val="none"/>
        </w:rPr>
        <w:instrText xml:space="preserve"> PAGEREF _Toc26708 \h </w:instrText>
      </w:r>
      <w:r>
        <w:rPr>
          <w:color w:val="auto"/>
          <w:highlight w:val="none"/>
        </w:rPr>
        <w:fldChar w:fldCharType="separate"/>
      </w:r>
      <w:r>
        <w:rPr>
          <w:color w:val="auto"/>
          <w:highlight w:val="none"/>
        </w:rPr>
        <w:t>4</w:t>
      </w:r>
      <w:r>
        <w:rPr>
          <w:color w:val="auto"/>
          <w:highlight w:val="none"/>
        </w:rPr>
        <w:fldChar w:fldCharType="end"/>
      </w:r>
    </w:p>
    <w:p>
      <w:pPr>
        <w:pStyle w:val="13"/>
        <w:shd w:val="clear"/>
        <w:tabs>
          <w:tab w:val="right" w:leader="dot" w:pos="8306"/>
          <w:tab w:val="clear" w:pos="8296"/>
        </w:tabs>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一、 收入支出决算总体情况说明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_Toc24807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t xml:space="preserve">二、 </w:t>
      </w:r>
      <w:r>
        <w:rPr>
          <w:rFonts w:hint="eastAsia" w:ascii="宋体" w:hAnsi="宋体" w:eastAsia="宋体" w:cs="宋体"/>
          <w:color w:val="auto"/>
          <w:szCs w:val="32"/>
          <w:highlight w:val="none"/>
        </w:rPr>
        <w:t>收</w:t>
      </w:r>
      <w:r>
        <w:rPr>
          <w:rFonts w:hint="eastAsia" w:ascii="宋体" w:hAnsi="宋体" w:eastAsia="宋体" w:cs="宋体"/>
          <w:bCs/>
          <w:color w:val="auto"/>
          <w:highlight w:val="none"/>
        </w:rPr>
        <w:t>入决算情况说明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_Toc20616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t xml:space="preserve">三、 </w:t>
      </w:r>
      <w:r>
        <w:rPr>
          <w:rFonts w:hint="eastAsia" w:ascii="宋体" w:hAnsi="宋体" w:eastAsia="宋体" w:cs="宋体"/>
          <w:color w:val="auto"/>
          <w:szCs w:val="32"/>
          <w:highlight w:val="none"/>
        </w:rPr>
        <w:t>支</w:t>
      </w:r>
      <w:r>
        <w:rPr>
          <w:rFonts w:hint="eastAsia" w:ascii="宋体" w:hAnsi="宋体" w:eastAsia="宋体" w:cs="宋体"/>
          <w:bCs/>
          <w:color w:val="auto"/>
          <w:highlight w:val="none"/>
        </w:rPr>
        <w:t>出决算情况说明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t>四、财政拨款收入支出决算总体情况说明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t>五、一般公共预算财政拨款支出决算情况说明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_Toc6927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t>六、一般公共预算财政拨款基本支出决算情况说明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t>七、财政拨款“三公”经费支出决算情况说明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t>八、政府性基金预算支出决算情况说明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_Toc19937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t>九、 国有资本经营预算支出决算情况说明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_Toc27609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t>十、 其他重要事项的情况说明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_Toc17770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p>
    <w:p>
      <w:pPr>
        <w:pStyle w:val="12"/>
        <w:shd w:val="clear"/>
        <w:tabs>
          <w:tab w:val="right" w:leader="dot" w:pos="8306"/>
          <w:tab w:val="clear" w:pos="8296"/>
        </w:tabs>
        <w:rPr>
          <w:color w:val="auto"/>
          <w:highlight w:val="none"/>
        </w:rPr>
      </w:pPr>
      <w:r>
        <w:rPr>
          <w:rFonts w:hint="eastAsia" w:ascii="黑体" w:hAnsi="黑体" w:eastAsia="黑体" w:cs="黑体"/>
          <w:bCs w:val="0"/>
          <w:color w:val="auto"/>
          <w:szCs w:val="44"/>
          <w:highlight w:val="none"/>
        </w:rPr>
        <w:t xml:space="preserve">第三部分 </w:t>
      </w:r>
      <w:r>
        <w:rPr>
          <w:rFonts w:hint="eastAsia" w:ascii="方正黑体_GBK" w:hAnsi="方正黑体_GBK" w:eastAsia="方正黑体_GBK" w:cs="方正黑体_GBK"/>
          <w:b w:val="0"/>
          <w:bCs w:val="0"/>
          <w:color w:val="auto"/>
          <w:highlight w:val="none"/>
        </w:rPr>
        <w:t>名词解释</w:t>
      </w:r>
      <w:r>
        <w:rPr>
          <w:color w:val="auto"/>
          <w:highlight w:val="none"/>
        </w:rPr>
        <w:tab/>
      </w:r>
      <w:r>
        <w:rPr>
          <w:color w:val="auto"/>
          <w:highlight w:val="none"/>
        </w:rPr>
        <w:fldChar w:fldCharType="begin"/>
      </w:r>
      <w:r>
        <w:rPr>
          <w:color w:val="auto"/>
          <w:highlight w:val="none"/>
        </w:rPr>
        <w:instrText xml:space="preserve"> PAGEREF _Toc24317 \h </w:instrText>
      </w:r>
      <w:r>
        <w:rPr>
          <w:color w:val="auto"/>
          <w:highlight w:val="none"/>
        </w:rPr>
        <w:fldChar w:fldCharType="separate"/>
      </w:r>
      <w:r>
        <w:rPr>
          <w:color w:val="auto"/>
          <w:highlight w:val="none"/>
        </w:rPr>
        <w:t>12</w:t>
      </w:r>
      <w:r>
        <w:rPr>
          <w:color w:val="auto"/>
          <w:highlight w:val="none"/>
        </w:rPr>
        <w:fldChar w:fldCharType="end"/>
      </w:r>
    </w:p>
    <w:p>
      <w:pPr>
        <w:pStyle w:val="12"/>
        <w:shd w:val="clear"/>
        <w:tabs>
          <w:tab w:val="right" w:leader="dot" w:pos="8306"/>
          <w:tab w:val="clear" w:pos="8296"/>
        </w:tabs>
        <w:rPr>
          <w:color w:val="auto"/>
          <w:highlight w:val="none"/>
        </w:rPr>
      </w:pPr>
      <w:r>
        <w:rPr>
          <w:rFonts w:hint="eastAsia" w:ascii="方正黑体_GBK" w:hAnsi="方正黑体_GBK" w:eastAsia="方正黑体_GBK" w:cs="方正黑体_GBK"/>
          <w:b w:val="0"/>
          <w:bCs w:val="0"/>
          <w:color w:val="auto"/>
          <w:highlight w:val="none"/>
        </w:rPr>
        <w:t>第四部分 附件</w:t>
      </w:r>
      <w:bookmarkStart w:id="100" w:name="_GoBack"/>
      <w:bookmarkEnd w:id="100"/>
      <w:r>
        <w:rPr>
          <w:color w:val="auto"/>
          <w:highlight w:val="none"/>
        </w:rPr>
        <w:tab/>
      </w:r>
      <w:r>
        <w:rPr>
          <w:color w:val="auto"/>
          <w:highlight w:val="none"/>
        </w:rPr>
        <w:fldChar w:fldCharType="begin"/>
      </w:r>
      <w:r>
        <w:rPr>
          <w:color w:val="auto"/>
          <w:highlight w:val="none"/>
        </w:rPr>
        <w:instrText xml:space="preserve"> PAGEREF _Toc7518 \h </w:instrText>
      </w:r>
      <w:r>
        <w:rPr>
          <w:color w:val="auto"/>
          <w:highlight w:val="none"/>
        </w:rPr>
        <w:fldChar w:fldCharType="separate"/>
      </w:r>
      <w:r>
        <w:rPr>
          <w:color w:val="auto"/>
          <w:highlight w:val="none"/>
        </w:rPr>
        <w:t>15</w:t>
      </w:r>
      <w:r>
        <w:rPr>
          <w:color w:val="auto"/>
          <w:highlight w:val="none"/>
        </w:rPr>
        <w:fldChar w:fldCharType="end"/>
      </w:r>
    </w:p>
    <w:p>
      <w:pPr>
        <w:pStyle w:val="12"/>
        <w:shd w:val="clear"/>
        <w:tabs>
          <w:tab w:val="right" w:leader="dot" w:pos="8306"/>
          <w:tab w:val="clear" w:pos="8296"/>
        </w:tabs>
        <w:rPr>
          <w:color w:val="auto"/>
          <w:highlight w:val="none"/>
        </w:rPr>
      </w:pPr>
      <w:r>
        <w:rPr>
          <w:rFonts w:hint="eastAsia" w:ascii="方正黑体_GBK" w:hAnsi="方正黑体_GBK" w:eastAsia="方正黑体_GBK" w:cs="方正黑体_GBK"/>
          <w:color w:val="auto"/>
          <w:highlight w:val="none"/>
        </w:rPr>
        <w:t>第五部分 附表</w:t>
      </w:r>
      <w:r>
        <w:rPr>
          <w:color w:val="auto"/>
          <w:highlight w:val="none"/>
        </w:rPr>
        <w:tab/>
      </w:r>
      <w:r>
        <w:rPr>
          <w:color w:val="auto"/>
          <w:highlight w:val="none"/>
        </w:rPr>
        <w:fldChar w:fldCharType="begin"/>
      </w:r>
      <w:r>
        <w:rPr>
          <w:color w:val="auto"/>
          <w:highlight w:val="none"/>
        </w:rPr>
        <w:instrText xml:space="preserve"> PAGEREF _Toc1816 \h </w:instrText>
      </w:r>
      <w:r>
        <w:rPr>
          <w:color w:val="auto"/>
          <w:highlight w:val="none"/>
        </w:rPr>
        <w:fldChar w:fldCharType="separate"/>
      </w:r>
      <w:r>
        <w:rPr>
          <w:color w:val="auto"/>
          <w:highlight w:val="none"/>
        </w:rPr>
        <w:t>15</w:t>
      </w:r>
      <w:r>
        <w:rPr>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t>一、收</w:t>
      </w:r>
      <w:r>
        <w:rPr>
          <w:rFonts w:hint="eastAsia" w:ascii="宋体" w:hAnsi="宋体" w:eastAsia="宋体" w:cs="宋体"/>
          <w:bCs w:val="0"/>
          <w:color w:val="auto"/>
          <w:highlight w:val="none"/>
        </w:rPr>
        <w:t>入支出决算总表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t>二、收</w:t>
      </w:r>
      <w:r>
        <w:rPr>
          <w:rFonts w:hint="eastAsia" w:ascii="宋体" w:hAnsi="宋体" w:eastAsia="宋体" w:cs="宋体"/>
          <w:bCs w:val="0"/>
          <w:color w:val="auto"/>
          <w:highlight w:val="none"/>
        </w:rPr>
        <w:t>入决算表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_Toc32480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bCs w:val="0"/>
          <w:color w:val="auto"/>
          <w:highlight w:val="none"/>
        </w:rPr>
        <w:t>三、</w:t>
      </w:r>
      <w:r>
        <w:rPr>
          <w:rFonts w:hint="eastAsia" w:ascii="宋体" w:hAnsi="宋体" w:eastAsia="宋体" w:cs="宋体"/>
          <w:color w:val="auto"/>
          <w:highlight w:val="none"/>
        </w:rPr>
        <w:t>支</w:t>
      </w:r>
      <w:r>
        <w:rPr>
          <w:rFonts w:hint="eastAsia" w:ascii="宋体" w:hAnsi="宋体" w:eastAsia="宋体" w:cs="宋体"/>
          <w:bCs w:val="0"/>
          <w:color w:val="auto"/>
          <w:highlight w:val="none"/>
        </w:rPr>
        <w:t>出决算表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_Toc17436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bCs w:val="0"/>
          <w:color w:val="auto"/>
          <w:highlight w:val="none"/>
        </w:rPr>
        <w:t>四、</w:t>
      </w:r>
      <w:r>
        <w:rPr>
          <w:rFonts w:hint="eastAsia" w:ascii="宋体" w:hAnsi="宋体" w:eastAsia="宋体" w:cs="宋体"/>
          <w:color w:val="auto"/>
          <w:highlight w:val="none"/>
        </w:rPr>
        <w:t>财</w:t>
      </w:r>
      <w:r>
        <w:rPr>
          <w:rFonts w:hint="eastAsia" w:ascii="宋体" w:hAnsi="宋体" w:eastAsia="宋体" w:cs="宋体"/>
          <w:bCs w:val="0"/>
          <w:color w:val="auto"/>
          <w:highlight w:val="none"/>
        </w:rPr>
        <w:t>政拨款收入支出决算总表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_Toc29429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bCs w:val="0"/>
          <w:color w:val="auto"/>
          <w:highlight w:val="none"/>
        </w:rPr>
        <w:t>五、</w:t>
      </w:r>
      <w:r>
        <w:rPr>
          <w:rFonts w:hint="eastAsia" w:ascii="宋体" w:hAnsi="宋体" w:eastAsia="宋体" w:cs="宋体"/>
          <w:color w:val="auto"/>
          <w:highlight w:val="none"/>
        </w:rPr>
        <w:t>财</w:t>
      </w:r>
      <w:r>
        <w:rPr>
          <w:rFonts w:hint="eastAsia" w:ascii="宋体" w:hAnsi="宋体" w:eastAsia="宋体" w:cs="宋体"/>
          <w:bCs w:val="0"/>
          <w:color w:val="auto"/>
          <w:highlight w:val="none"/>
        </w:rPr>
        <w:t>政拨款支出决算明细表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bCs w:val="0"/>
          <w:color w:val="auto"/>
          <w:highlight w:val="none"/>
        </w:rPr>
        <w:t>六、</w:t>
      </w:r>
      <w:r>
        <w:rPr>
          <w:rFonts w:hint="eastAsia" w:ascii="宋体" w:hAnsi="宋体" w:eastAsia="宋体" w:cs="宋体"/>
          <w:color w:val="auto"/>
          <w:highlight w:val="none"/>
        </w:rPr>
        <w:t>一</w:t>
      </w:r>
      <w:r>
        <w:rPr>
          <w:rFonts w:hint="eastAsia" w:ascii="宋体" w:hAnsi="宋体" w:eastAsia="宋体" w:cs="宋体"/>
          <w:bCs w:val="0"/>
          <w:color w:val="auto"/>
          <w:highlight w:val="none"/>
        </w:rPr>
        <w:t>般公共预算财政拨款支出决算表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_Toc13010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bCs w:val="0"/>
          <w:color w:val="auto"/>
          <w:highlight w:val="none"/>
        </w:rPr>
        <w:t>七、</w:t>
      </w:r>
      <w:r>
        <w:rPr>
          <w:rFonts w:hint="eastAsia" w:ascii="宋体" w:hAnsi="宋体" w:eastAsia="宋体" w:cs="宋体"/>
          <w:color w:val="auto"/>
          <w:highlight w:val="none"/>
        </w:rPr>
        <w:t>一</w:t>
      </w:r>
      <w:r>
        <w:rPr>
          <w:rFonts w:hint="eastAsia" w:ascii="宋体" w:hAnsi="宋体" w:eastAsia="宋体" w:cs="宋体"/>
          <w:bCs w:val="0"/>
          <w:color w:val="auto"/>
          <w:highlight w:val="none"/>
        </w:rPr>
        <w:t>般公共预算财政拨款支出决算明细表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bCs w:val="0"/>
          <w:color w:val="auto"/>
          <w:highlight w:val="none"/>
        </w:rPr>
        <w:t>八、</w:t>
      </w:r>
      <w:r>
        <w:rPr>
          <w:rFonts w:hint="eastAsia" w:ascii="宋体" w:hAnsi="宋体" w:eastAsia="宋体" w:cs="宋体"/>
          <w:color w:val="auto"/>
          <w:highlight w:val="none"/>
        </w:rPr>
        <w:t>一</w:t>
      </w:r>
      <w:r>
        <w:rPr>
          <w:rFonts w:hint="eastAsia" w:ascii="宋体" w:hAnsi="宋体" w:eastAsia="宋体" w:cs="宋体"/>
          <w:bCs w:val="0"/>
          <w:color w:val="auto"/>
          <w:highlight w:val="none"/>
        </w:rPr>
        <w:t>般公共预算财政拨款基本支出决算表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_Toc22078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bCs w:val="0"/>
          <w:color w:val="auto"/>
          <w:highlight w:val="none"/>
        </w:rPr>
        <w:t>九、</w:t>
      </w:r>
      <w:r>
        <w:rPr>
          <w:rFonts w:hint="eastAsia" w:ascii="宋体" w:hAnsi="宋体" w:eastAsia="宋体" w:cs="宋体"/>
          <w:color w:val="auto"/>
          <w:highlight w:val="none"/>
        </w:rPr>
        <w:t>一</w:t>
      </w:r>
      <w:r>
        <w:rPr>
          <w:rFonts w:hint="eastAsia" w:ascii="宋体" w:hAnsi="宋体" w:eastAsia="宋体" w:cs="宋体"/>
          <w:bCs w:val="0"/>
          <w:color w:val="auto"/>
          <w:highlight w:val="none"/>
        </w:rPr>
        <w:t>般公共预算财政拨款项目支出决算表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_Toc12561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bCs w:val="0"/>
          <w:color w:val="auto"/>
          <w:highlight w:val="none"/>
        </w:rPr>
        <w:t>十、</w:t>
      </w:r>
      <w:r>
        <w:rPr>
          <w:rFonts w:hint="eastAsia" w:ascii="宋体" w:hAnsi="宋体" w:eastAsia="宋体" w:cs="宋体"/>
          <w:color w:val="auto"/>
          <w:highlight w:val="none"/>
        </w:rPr>
        <w:t>政</w:t>
      </w:r>
      <w:r>
        <w:rPr>
          <w:rFonts w:hint="eastAsia" w:ascii="宋体" w:hAnsi="宋体" w:eastAsia="宋体" w:cs="宋体"/>
          <w:bCs w:val="0"/>
          <w:color w:val="auto"/>
          <w:highlight w:val="none"/>
        </w:rPr>
        <w:t>府性基金预算财政拨款收入支出决算表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bCs w:val="0"/>
          <w:color w:val="auto"/>
          <w:highlight w:val="none"/>
        </w:rPr>
        <w:t>十一、</w:t>
      </w:r>
      <w:r>
        <w:rPr>
          <w:rFonts w:hint="eastAsia" w:ascii="宋体" w:hAnsi="宋体" w:eastAsia="宋体" w:cs="宋体"/>
          <w:color w:val="auto"/>
          <w:highlight w:val="none"/>
        </w:rPr>
        <w:t>国</w:t>
      </w:r>
      <w:r>
        <w:rPr>
          <w:rFonts w:hint="eastAsia" w:ascii="宋体" w:hAnsi="宋体" w:eastAsia="宋体" w:cs="宋体"/>
          <w:bCs w:val="0"/>
          <w:color w:val="auto"/>
          <w:highlight w:val="none"/>
        </w:rPr>
        <w:t>有资本经营预算</w:t>
      </w:r>
      <w:r>
        <w:rPr>
          <w:rFonts w:hint="eastAsia" w:ascii="宋体" w:hAnsi="宋体" w:eastAsia="宋体" w:cs="宋体"/>
          <w:bCs w:val="0"/>
          <w:color w:val="auto"/>
          <w:highlight w:val="none"/>
          <w:lang w:eastAsia="zh-CN"/>
        </w:rPr>
        <w:t>财政拨款收入</w:t>
      </w:r>
      <w:r>
        <w:rPr>
          <w:rFonts w:hint="eastAsia" w:ascii="宋体" w:hAnsi="宋体" w:eastAsia="宋体" w:cs="宋体"/>
          <w:bCs w:val="0"/>
          <w:color w:val="auto"/>
          <w:highlight w:val="none"/>
        </w:rPr>
        <w:t>支出决算表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p>
    <w:p>
      <w:pPr>
        <w:pStyle w:val="13"/>
        <w:shd w:val="clear"/>
        <w:tabs>
          <w:tab w:val="right" w:leader="dot" w:pos="8306"/>
          <w:tab w:val="clear" w:pos="8296"/>
        </w:tabs>
        <w:rPr>
          <w:rFonts w:hint="eastAsia" w:ascii="宋体" w:hAnsi="宋体" w:eastAsia="宋体" w:cs="宋体"/>
          <w:color w:val="auto"/>
          <w:highlight w:val="none"/>
        </w:rPr>
      </w:pPr>
      <w:r>
        <w:rPr>
          <w:rFonts w:hint="eastAsia" w:ascii="宋体" w:hAnsi="宋体" w:eastAsia="宋体" w:cs="宋体"/>
          <w:bCs w:val="0"/>
          <w:color w:val="auto"/>
          <w:highlight w:val="none"/>
        </w:rPr>
        <w:t>十二、</w:t>
      </w:r>
      <w:r>
        <w:rPr>
          <w:rFonts w:hint="eastAsia" w:ascii="宋体" w:hAnsi="宋体" w:eastAsia="宋体" w:cs="宋体"/>
          <w:bCs w:val="0"/>
          <w:color w:val="auto"/>
          <w:highlight w:val="none"/>
          <w:lang w:eastAsia="zh-CN"/>
        </w:rPr>
        <w:t>国有资本经营预算财政拨款支出决算表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p>
    <w:p>
      <w:pPr>
        <w:pStyle w:val="13"/>
        <w:shd w:val="clear"/>
        <w:tabs>
          <w:tab w:val="right" w:leader="dot" w:pos="8306"/>
          <w:tab w:val="clear" w:pos="8296"/>
        </w:tabs>
        <w:rPr>
          <w:color w:val="auto"/>
          <w:highlight w:val="none"/>
        </w:rPr>
      </w:pPr>
      <w:r>
        <w:rPr>
          <w:rFonts w:hint="eastAsia" w:ascii="宋体" w:hAnsi="宋体" w:eastAsia="宋体" w:cs="宋体"/>
          <w:bCs w:val="0"/>
          <w:color w:val="auto"/>
          <w:highlight w:val="none"/>
        </w:rPr>
        <w:t>十三、</w:t>
      </w:r>
      <w:r>
        <w:rPr>
          <w:rFonts w:hint="eastAsia" w:ascii="宋体" w:hAnsi="宋体" w:eastAsia="宋体" w:cs="宋体"/>
          <w:bCs w:val="0"/>
          <w:color w:val="auto"/>
          <w:highlight w:val="none"/>
          <w:lang w:eastAsia="zh-CN"/>
        </w:rPr>
        <w:t>财政拨款“三公”经费支出决算表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_Toc9228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p>
    <w:p>
      <w:pPr>
        <w:pStyle w:val="12"/>
        <w:shd w:val="clear"/>
        <w:rPr>
          <w:rFonts w:hint="eastAsia" w:eastAsia="仿宋"/>
          <w:color w:val="auto"/>
          <w:highlight w:val="none"/>
          <w:lang w:val="en-US" w:eastAsia="zh-CN"/>
        </w:rPr>
      </w:pPr>
      <w:r>
        <w:rPr>
          <w:rFonts w:hint="default" w:ascii="方正小标宋简体" w:hAnsi="宋体" w:eastAsia="方正小标宋简体"/>
          <w:color w:val="auto"/>
          <w:szCs w:val="36"/>
          <w:highlight w:val="none"/>
        </w:rPr>
        <w:fldChar w:fldCharType="end"/>
      </w:r>
    </w:p>
    <w:p>
      <w:pPr>
        <w:shd w:val="clear"/>
        <w:rPr>
          <w:color w:val="auto"/>
          <w:highlight w:val="none"/>
        </w:rPr>
      </w:pPr>
    </w:p>
    <w:p>
      <w:pPr>
        <w:pStyle w:val="4"/>
        <w:shd w:val="clear"/>
        <w:jc w:val="center"/>
        <w:rPr>
          <w:rStyle w:val="19"/>
          <w:rFonts w:ascii="黑体" w:hAnsi="黑体" w:eastAsia="黑体"/>
          <w:b/>
          <w:bCs w:val="0"/>
          <w:color w:val="auto"/>
          <w:highlight w:val="none"/>
        </w:rPr>
      </w:pPr>
      <w:bookmarkStart w:id="12" w:name="_Toc15377196"/>
      <w:bookmarkStart w:id="13" w:name="_Toc15396599"/>
      <w:bookmarkStart w:id="14" w:name="_Toc21454"/>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19"/>
          <w:rFonts w:hint="eastAsia" w:ascii="黑体" w:hAnsi="黑体" w:eastAsia="黑体"/>
          <w:b w:val="0"/>
          <w:bCs w:val="0"/>
          <w:color w:val="auto"/>
          <w:highlight w:val="none"/>
        </w:rPr>
        <w:t>概况</w:t>
      </w:r>
      <w:bookmarkEnd w:id="12"/>
      <w:bookmarkEnd w:id="13"/>
      <w:bookmarkEnd w:id="14"/>
    </w:p>
    <w:p>
      <w:pPr>
        <w:widowControl/>
        <w:shd w:val="clear"/>
        <w:jc w:val="left"/>
        <w:rPr>
          <w:rFonts w:ascii="黑体" w:eastAsia="黑体"/>
          <w:color w:val="auto"/>
          <w:sz w:val="32"/>
          <w:szCs w:val="32"/>
          <w:highlight w:val="none"/>
        </w:rPr>
      </w:pPr>
    </w:p>
    <w:p>
      <w:pPr>
        <w:pStyle w:val="5"/>
        <w:numPr>
          <w:ilvl w:val="0"/>
          <w:numId w:val="1"/>
        </w:numPr>
        <w:shd w:val="clear"/>
        <w:bidi w:val="0"/>
        <w:rPr>
          <w:rFonts w:hint="eastAsia"/>
          <w:color w:val="auto"/>
          <w:highlight w:val="none"/>
          <w:lang w:eastAsia="zh-CN"/>
        </w:rPr>
      </w:pPr>
      <w:bookmarkStart w:id="15" w:name="_Toc31381"/>
      <w:bookmarkStart w:id="16" w:name="_Toc15377197"/>
      <w:bookmarkStart w:id="17" w:name="_Toc15396600"/>
      <w:r>
        <w:rPr>
          <w:rFonts w:hint="eastAsia"/>
          <w:color w:val="auto"/>
          <w:highlight w:val="none"/>
          <w:lang w:eastAsia="zh-CN"/>
        </w:rPr>
        <w:t>主要职责</w:t>
      </w:r>
      <w:bookmarkEnd w:id="15"/>
    </w:p>
    <w:p>
      <w:pPr>
        <w:pStyle w:val="7"/>
        <w:shd w:val="clear"/>
        <w:adjustRightInd w:val="0"/>
        <w:snapToGrid w:val="0"/>
        <w:spacing w:before="93" w:line="600" w:lineRule="exact"/>
        <w:ind w:firstLine="672" w:firstLineChars="210"/>
        <w:outlineLvl w:val="2"/>
        <w:rPr>
          <w:rFonts w:hint="eastAsia" w:ascii="方正仿宋_GBK" w:eastAsia="方正仿宋_GBK"/>
          <w:color w:val="auto"/>
          <w:sz w:val="32"/>
          <w:szCs w:val="32"/>
          <w:highlight w:val="none"/>
        </w:rPr>
      </w:pPr>
      <w:bookmarkStart w:id="18" w:name="_Toc15378445"/>
      <w:bookmarkStart w:id="19" w:name="_Toc15377198"/>
      <w:r>
        <w:rPr>
          <w:rFonts w:hint="eastAsia" w:ascii="方正仿宋_GBK" w:eastAsia="方正仿宋_GBK"/>
          <w:color w:val="auto"/>
          <w:sz w:val="32"/>
          <w:szCs w:val="32"/>
          <w:highlight w:val="none"/>
        </w:rPr>
        <w:t>广元市防震减灾服务中心负责我市及邻近地区的地震监测分析预报跟踪，制定并实施年度震情跟踪工作方案；开展地震短临跟踪及震情趋势研判，提出震情趋势意见；为政府部门和社会公众等提供防震减灾决策咨询、技术指导服务；建设管理地震烈度速报与预警系统，推广运用防震减灾新技术；协助相关单位划定地震监测设施和地震观测环境的保护范围，依法保护地震监测设施和地震观测环境；开展防震减灾法律、法规和科普知识宣传，提升全社会防震减灾意识和能力；组织地震科技攻关研究和科技成果的推广应用，推进地震科技现代化。</w:t>
      </w:r>
      <w:bookmarkEnd w:id="18"/>
      <w:bookmarkEnd w:id="19"/>
    </w:p>
    <w:p>
      <w:pPr>
        <w:shd w:val="clear"/>
        <w:rPr>
          <w:rFonts w:hint="eastAsia"/>
          <w:color w:val="auto"/>
          <w:highlight w:val="none"/>
          <w:lang w:eastAsia="zh-CN"/>
        </w:rPr>
      </w:pPr>
    </w:p>
    <w:p>
      <w:pPr>
        <w:pStyle w:val="5"/>
        <w:numPr>
          <w:ilvl w:val="0"/>
          <w:numId w:val="1"/>
        </w:numPr>
        <w:shd w:val="clear"/>
        <w:bidi w:val="0"/>
        <w:rPr>
          <w:rFonts w:hint="eastAsia"/>
          <w:color w:val="auto"/>
          <w:highlight w:val="none"/>
          <w:lang w:val="en-US" w:eastAsia="zh-CN"/>
        </w:rPr>
      </w:pPr>
      <w:bookmarkStart w:id="20" w:name="_Toc21663"/>
      <w:r>
        <w:rPr>
          <w:rFonts w:hint="eastAsia"/>
          <w:color w:val="auto"/>
          <w:highlight w:val="none"/>
          <w:lang w:val="en-US" w:eastAsia="zh-CN"/>
        </w:rPr>
        <w:t>机构设置</w:t>
      </w:r>
      <w:bookmarkEnd w:id="20"/>
    </w:p>
    <w:bookmarkEnd w:id="16"/>
    <w:bookmarkEnd w:id="17"/>
    <w:p>
      <w:pPr>
        <w:widowControl/>
        <w:shd w:val="clear"/>
        <w:ind w:firstLine="640" w:firstLineChars="200"/>
        <w:jc w:val="left"/>
        <w:rPr>
          <w:rFonts w:ascii="仿宋" w:hAnsi="仿宋" w:eastAsia="仿宋"/>
          <w:color w:val="auto"/>
          <w:kern w:val="0"/>
          <w:sz w:val="32"/>
          <w:szCs w:val="32"/>
          <w:highlight w:val="none"/>
        </w:rPr>
      </w:pPr>
      <w:r>
        <w:rPr>
          <w:rFonts w:hint="eastAsia" w:ascii="方正仿宋_GBK" w:eastAsia="方正仿宋_GBK"/>
          <w:color w:val="auto"/>
          <w:sz w:val="32"/>
          <w:szCs w:val="32"/>
          <w:highlight w:val="none"/>
          <w:lang w:val="en-US" w:eastAsia="zh-CN"/>
        </w:rPr>
        <w:t>广元市防震减灾服务中心</w:t>
      </w:r>
      <w:r>
        <w:rPr>
          <w:rFonts w:hint="eastAsia" w:ascii="方正仿宋_GBK" w:eastAsia="方正仿宋_GBK"/>
          <w:color w:val="auto"/>
          <w:sz w:val="32"/>
          <w:szCs w:val="32"/>
          <w:highlight w:val="none"/>
        </w:rPr>
        <w:t>是市政府直属的参公事业单位</w:t>
      </w:r>
      <w:r>
        <w:rPr>
          <w:rFonts w:hint="eastAsia" w:ascii="方正仿宋_GBK" w:eastAsia="方正仿宋_GBK"/>
          <w:color w:val="auto"/>
          <w:sz w:val="32"/>
          <w:szCs w:val="32"/>
          <w:highlight w:val="none"/>
          <w:lang w:val="en-US" w:eastAsia="zh-CN"/>
        </w:rPr>
        <w:t>，</w:t>
      </w:r>
      <w:r>
        <w:rPr>
          <w:rFonts w:hint="eastAsia" w:ascii="方正仿宋_GBK" w:eastAsia="方正仿宋_GBK"/>
          <w:color w:val="auto"/>
          <w:sz w:val="32"/>
          <w:szCs w:val="32"/>
          <w:highlight w:val="none"/>
        </w:rPr>
        <w:t>由广元市应急管理局代管。</w:t>
      </w:r>
      <w:r>
        <w:rPr>
          <w:rFonts w:hint="eastAsia" w:ascii="方正仿宋_GBK" w:eastAsia="方正仿宋_GBK"/>
          <w:color w:val="auto"/>
          <w:sz w:val="32"/>
          <w:szCs w:val="32"/>
          <w:highlight w:val="none"/>
          <w:lang w:val="en-US" w:eastAsia="zh-CN"/>
        </w:rPr>
        <w:t>内设机构：综合科、监测科、分析预报科、科普宣传科。事业编制16名，其中：主任1名（副县级），副主任2名（正科级）；副科级领导职数4名。</w:t>
      </w:r>
      <w:r>
        <w:rPr>
          <w:rFonts w:ascii="仿宋" w:hAnsi="仿宋" w:eastAsia="仿宋"/>
          <w:color w:val="auto"/>
          <w:sz w:val="32"/>
          <w:szCs w:val="32"/>
          <w:highlight w:val="none"/>
        </w:rPr>
        <w:br w:type="page"/>
      </w:r>
    </w:p>
    <w:p>
      <w:pPr>
        <w:pStyle w:val="4"/>
        <w:shd w:val="clear"/>
        <w:ind w:right="440"/>
        <w:jc w:val="center"/>
        <w:rPr>
          <w:rStyle w:val="19"/>
          <w:rFonts w:ascii="黑体" w:hAnsi="黑体" w:eastAsia="黑体"/>
          <w:b w:val="0"/>
          <w:bCs/>
          <w:color w:val="auto"/>
          <w:highlight w:val="none"/>
        </w:rPr>
      </w:pPr>
      <w:bookmarkStart w:id="21" w:name="_Toc26708"/>
      <w:bookmarkStart w:id="22" w:name="_Toc15396602"/>
      <w:bookmarkStart w:id="23"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19"/>
          <w:rFonts w:hint="eastAsia" w:ascii="黑体" w:hAnsi="黑体" w:eastAsia="黑体"/>
          <w:b w:val="0"/>
          <w:bCs/>
          <w:color w:val="auto"/>
          <w:highlight w:val="none"/>
          <w:lang w:eastAsia="zh-CN"/>
        </w:rPr>
        <w:t>单位</w:t>
      </w:r>
      <w:r>
        <w:rPr>
          <w:rStyle w:val="19"/>
          <w:rFonts w:hint="eastAsia" w:ascii="黑体" w:hAnsi="黑体" w:eastAsia="黑体"/>
          <w:b w:val="0"/>
          <w:bCs/>
          <w:color w:val="auto"/>
          <w:highlight w:val="none"/>
        </w:rPr>
        <w:t>决算情况说明</w:t>
      </w:r>
      <w:bookmarkEnd w:id="21"/>
      <w:bookmarkEnd w:id="22"/>
      <w:bookmarkEnd w:id="23"/>
    </w:p>
    <w:p>
      <w:pPr>
        <w:shd w:val="clear"/>
        <w:rPr>
          <w:color w:val="auto"/>
          <w:highlight w:val="none"/>
        </w:rPr>
      </w:pPr>
    </w:p>
    <w:p>
      <w:pPr>
        <w:pStyle w:val="5"/>
        <w:numPr>
          <w:ilvl w:val="0"/>
          <w:numId w:val="2"/>
        </w:numPr>
        <w:shd w:val="clear"/>
        <w:bidi w:val="0"/>
        <w:rPr>
          <w:color w:val="auto"/>
          <w:highlight w:val="none"/>
        </w:rPr>
      </w:pPr>
      <w:bookmarkStart w:id="24" w:name="_Toc15377205"/>
      <w:bookmarkStart w:id="25" w:name="_Toc24807"/>
      <w:bookmarkStart w:id="26" w:name="_Toc15396603"/>
      <w:r>
        <w:rPr>
          <w:rFonts w:hint="eastAsia"/>
          <w:color w:val="auto"/>
          <w:highlight w:val="none"/>
        </w:rPr>
        <w:t>收入支出决算总体情况说明</w:t>
      </w:r>
      <w:bookmarkEnd w:id="24"/>
      <w:bookmarkEnd w:id="25"/>
      <w:bookmarkEnd w:id="26"/>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年度收、支总计342.59万元。与20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年相比，收、支总计各增加21.27万元，增长6.62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。主要变动原因是2022年在职职工基本工资、退休人员基础绩效奖和地震科普宣传增加。</w:t>
      </w:r>
    </w:p>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olor w:val="auto"/>
          <w:sz w:val="32"/>
          <w:szCs w:val="32"/>
          <w:highlight w:val="none"/>
          <w:lang w:eastAsia="zh-CN"/>
        </w:rPr>
      </w:pPr>
      <w:r>
        <w:rPr>
          <w:color w:val="auto"/>
          <w:highlight w:val="none"/>
        </w:rPr>
        <w:drawing>
          <wp:inline distT="0" distB="0" distL="114300" distR="114300">
            <wp:extent cx="3305175" cy="1490345"/>
            <wp:effectExtent l="5080" t="4445" r="4445" b="1016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shd w:val="clea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柱状图</w:t>
      </w:r>
      <w:r>
        <w:rPr>
          <w:rFonts w:hint="eastAsia" w:ascii="仿宋" w:hAnsi="仿宋" w:eastAsia="仿宋"/>
          <w:color w:val="auto"/>
          <w:sz w:val="32"/>
          <w:szCs w:val="32"/>
          <w:highlight w:val="none"/>
          <w:lang w:eastAsia="zh-CN"/>
        </w:rPr>
        <w:t>）</w:t>
      </w:r>
    </w:p>
    <w:p>
      <w:pPr>
        <w:pStyle w:val="7"/>
        <w:shd w:val="clear"/>
        <w:rPr>
          <w:rFonts w:hint="eastAsia"/>
          <w:color w:val="auto"/>
          <w:highlight w:val="none"/>
          <w:lang w:eastAsia="zh-CN"/>
        </w:rPr>
      </w:pPr>
    </w:p>
    <w:p>
      <w:pPr>
        <w:pStyle w:val="5"/>
        <w:numPr>
          <w:ilvl w:val="0"/>
          <w:numId w:val="2"/>
        </w:numPr>
        <w:shd w:val="clear"/>
        <w:bidi w:val="0"/>
        <w:rPr>
          <w:rStyle w:val="20"/>
          <w:rFonts w:ascii="黑体" w:hAnsi="黑体" w:eastAsia="黑体"/>
          <w:b w:val="0"/>
          <w:bCs/>
          <w:color w:val="auto"/>
          <w:highlight w:val="none"/>
        </w:rPr>
      </w:pPr>
      <w:bookmarkStart w:id="27" w:name="_Toc15377206"/>
      <w:bookmarkStart w:id="28" w:name="_Toc15396604"/>
      <w:bookmarkStart w:id="29" w:name="_Toc20616"/>
      <w:r>
        <w:rPr>
          <w:rFonts w:hint="eastAsia" w:ascii="黑体" w:hAnsi="黑体" w:eastAsia="黑体"/>
          <w:color w:val="auto"/>
          <w:sz w:val="32"/>
          <w:szCs w:val="32"/>
          <w:highlight w:val="none"/>
        </w:rPr>
        <w:t>收</w:t>
      </w:r>
      <w:r>
        <w:rPr>
          <w:rStyle w:val="20"/>
          <w:rFonts w:hint="eastAsia" w:ascii="黑体" w:hAnsi="黑体" w:eastAsia="黑体"/>
          <w:b w:val="0"/>
          <w:bCs/>
          <w:color w:val="auto"/>
          <w:highlight w:val="none"/>
        </w:rPr>
        <w:t>入决算情况说明</w:t>
      </w:r>
      <w:bookmarkEnd w:id="27"/>
      <w:bookmarkEnd w:id="28"/>
      <w:bookmarkEnd w:id="29"/>
    </w:p>
    <w:p>
      <w:pPr>
        <w:shd w:val="clea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年本年收入合计332.92万元，其中：一般公共预算财政拨款收入332.45万元，占99.86</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；其他收入0.47万元，占0.14%。</w:t>
      </w:r>
    </w:p>
    <w:p>
      <w:pPr>
        <w:shd w:val="clear"/>
        <w:spacing w:line="240" w:lineRule="auto"/>
        <w:ind w:firstLine="420" w:firstLineChars="200"/>
        <w:outlineLvl w:val="1"/>
        <w:rPr>
          <w:rFonts w:ascii="仿宋" w:hAnsi="仿宋" w:eastAsia="仿宋"/>
          <w:color w:val="auto"/>
          <w:sz w:val="32"/>
          <w:szCs w:val="32"/>
          <w:highlight w:val="none"/>
        </w:rPr>
      </w:pPr>
      <w:r>
        <w:rPr>
          <w:color w:val="auto"/>
          <w:highlight w:val="none"/>
        </w:rPr>
        <w:drawing>
          <wp:inline distT="0" distB="0" distL="114300" distR="114300">
            <wp:extent cx="3219450" cy="1428750"/>
            <wp:effectExtent l="5080" t="4445" r="13970" b="14605"/>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hd w:val="clear"/>
        <w:spacing w:line="24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hd w:val="clear"/>
        <w:spacing w:line="600" w:lineRule="exact"/>
        <w:ind w:firstLine="640" w:firstLineChars="200"/>
        <w:rPr>
          <w:rFonts w:ascii="仿宋_GB2312" w:eastAsia="仿宋_GB2312"/>
          <w:color w:val="auto"/>
          <w:sz w:val="32"/>
          <w:szCs w:val="32"/>
          <w:highlight w:val="none"/>
        </w:rPr>
      </w:pPr>
    </w:p>
    <w:p>
      <w:pPr>
        <w:pStyle w:val="5"/>
        <w:numPr>
          <w:ilvl w:val="0"/>
          <w:numId w:val="2"/>
        </w:numPr>
        <w:shd w:val="clear"/>
        <w:bidi w:val="0"/>
        <w:rPr>
          <w:rStyle w:val="20"/>
          <w:rFonts w:ascii="黑体" w:hAnsi="黑体" w:eastAsia="黑体"/>
          <w:b w:val="0"/>
          <w:bCs/>
          <w:color w:val="auto"/>
          <w:highlight w:val="none"/>
        </w:rPr>
      </w:pPr>
      <w:bookmarkStart w:id="30" w:name="_Toc15396605"/>
      <w:bookmarkStart w:id="31" w:name="_Toc15377207"/>
      <w:bookmarkStart w:id="32" w:name="_Toc22603"/>
      <w:r>
        <w:rPr>
          <w:rFonts w:hint="eastAsia" w:ascii="黑体" w:hAnsi="黑体" w:eastAsia="黑体"/>
          <w:color w:val="auto"/>
          <w:sz w:val="32"/>
          <w:szCs w:val="32"/>
          <w:highlight w:val="none"/>
        </w:rPr>
        <w:t>支</w:t>
      </w:r>
      <w:r>
        <w:rPr>
          <w:rStyle w:val="20"/>
          <w:rFonts w:hint="eastAsia" w:ascii="黑体" w:hAnsi="黑体" w:eastAsia="黑体"/>
          <w:b w:val="0"/>
          <w:bCs/>
          <w:color w:val="auto"/>
          <w:highlight w:val="none"/>
        </w:rPr>
        <w:t>出决算情况说明</w:t>
      </w:r>
      <w:bookmarkEnd w:id="30"/>
      <w:bookmarkEnd w:id="31"/>
      <w:bookmarkEnd w:id="32"/>
    </w:p>
    <w:p>
      <w:pPr>
        <w:shd w:val="clea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年本年支出合计342.10万元，其中：</w:t>
      </w:r>
      <w:r>
        <w:rPr>
          <w:rFonts w:hint="eastAsia" w:ascii="仿宋" w:hAnsi="仿宋" w:eastAsia="仿宋"/>
          <w:color w:val="auto"/>
          <w:sz w:val="32"/>
          <w:szCs w:val="32"/>
          <w:highlight w:val="none"/>
          <w:lang w:val="en-US" w:eastAsia="zh-CN"/>
        </w:rPr>
        <w:t>基</w:t>
      </w:r>
      <w:r>
        <w:rPr>
          <w:rFonts w:hint="eastAsia" w:ascii="仿宋" w:hAnsi="仿宋" w:eastAsia="仿宋"/>
          <w:color w:val="auto"/>
          <w:sz w:val="32"/>
          <w:szCs w:val="32"/>
          <w:highlight w:val="none"/>
        </w:rPr>
        <w:t>本支出307.48万元，占89.88%；项目支出34.62万元，占10.12%。</w:t>
      </w:r>
    </w:p>
    <w:p>
      <w:pPr>
        <w:shd w:val="clear"/>
        <w:spacing w:line="240" w:lineRule="auto"/>
        <w:ind w:firstLine="640"/>
        <w:rPr>
          <w:rFonts w:ascii="仿宋" w:hAnsi="仿宋" w:eastAsia="仿宋"/>
          <w:color w:val="auto"/>
          <w:sz w:val="32"/>
          <w:szCs w:val="32"/>
          <w:highlight w:val="none"/>
          <w:shd w:val="pct10" w:color="auto" w:fill="FFFFFF"/>
        </w:rPr>
      </w:pPr>
      <w:r>
        <w:rPr>
          <w:color w:val="auto"/>
          <w:highlight w:val="none"/>
        </w:rPr>
        <w:drawing>
          <wp:inline distT="0" distB="0" distL="114300" distR="114300">
            <wp:extent cx="3028950" cy="1371600"/>
            <wp:effectExtent l="4445" t="4445" r="14605" b="14605"/>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hd w:val="clear"/>
        <w:spacing w:line="240" w:lineRule="auto"/>
        <w:ind w:firstLine="640" w:firstLineChars="200"/>
        <w:rPr>
          <w:color w:val="auto"/>
          <w:highlight w:val="none"/>
        </w:rPr>
      </w:pPr>
      <w:r>
        <w:rPr>
          <w:rFonts w:hint="eastAsia" w:ascii="仿宋" w:hAnsi="仿宋" w:eastAsia="仿宋"/>
          <w:color w:val="auto"/>
          <w:sz w:val="32"/>
          <w:szCs w:val="32"/>
          <w:highlight w:val="none"/>
        </w:rPr>
        <w:t>（图3：支出决算结构图）（饼状图）</w:t>
      </w:r>
    </w:p>
    <w:p>
      <w:pPr>
        <w:pStyle w:val="5"/>
        <w:keepNext/>
        <w:keepLines/>
        <w:pageBreakBefore w:val="0"/>
        <w:widowControl w:val="0"/>
        <w:shd w:val="clear"/>
        <w:kinsoku/>
        <w:wordWrap/>
        <w:overflowPunct/>
        <w:topLinePunct w:val="0"/>
        <w:autoSpaceDE/>
        <w:autoSpaceDN/>
        <w:bidi w:val="0"/>
        <w:adjustRightInd/>
        <w:snapToGrid/>
        <w:spacing w:line="416" w:lineRule="auto"/>
        <w:ind w:firstLine="643" w:firstLineChars="200"/>
        <w:textAlignment w:val="auto"/>
        <w:rPr>
          <w:color w:val="auto"/>
          <w:highlight w:val="none"/>
        </w:rPr>
      </w:pPr>
      <w:bookmarkStart w:id="33" w:name="_Toc21761"/>
      <w:bookmarkStart w:id="34" w:name="_Toc15396606"/>
      <w:bookmarkStart w:id="35" w:name="_Toc15377208"/>
      <w:r>
        <w:rPr>
          <w:rFonts w:hint="eastAsia"/>
          <w:color w:val="auto"/>
          <w:highlight w:val="none"/>
        </w:rPr>
        <w:t>四、财政拨款收入支出决算总体情况说明</w:t>
      </w:r>
      <w:bookmarkEnd w:id="33"/>
      <w:bookmarkEnd w:id="34"/>
      <w:bookmarkEnd w:id="35"/>
    </w:p>
    <w:p>
      <w:pPr>
        <w:shd w:val="clear"/>
        <w:spacing w:line="600" w:lineRule="exact"/>
        <w:ind w:firstLine="640"/>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2022年财政拨款收、支总计342.12万元。与2021年相比，财政拨款收、支总计各增加20.82万元，增加6.48%。主要变动原因是2022年在职职工基本工资、退休人员基础绩效奖和地震科普宣传支出增加。</w:t>
      </w:r>
    </w:p>
    <w:p>
      <w:pPr>
        <w:shd w:val="clear"/>
        <w:ind w:firstLine="420" w:firstLineChars="200"/>
        <w:rPr>
          <w:rFonts w:hint="eastAsia" w:ascii="方正仿宋_GBK" w:hAnsi="仿宋" w:eastAsia="方正仿宋_GBK" w:cs="仿宋"/>
          <w:color w:val="auto"/>
          <w:sz w:val="32"/>
          <w:szCs w:val="32"/>
          <w:highlight w:val="none"/>
        </w:rPr>
      </w:pPr>
      <w:r>
        <w:rPr>
          <w:color w:val="auto"/>
          <w:highlight w:val="none"/>
        </w:rPr>
        <w:drawing>
          <wp:inline distT="0" distB="0" distL="114300" distR="114300">
            <wp:extent cx="4208145" cy="1731010"/>
            <wp:effectExtent l="4445" t="4445" r="1651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hd w:val="clear"/>
        <w:spacing w:line="600" w:lineRule="exact"/>
        <w:ind w:firstLine="640" w:firstLineChars="200"/>
        <w:rPr>
          <w:color w:val="auto"/>
          <w:highlight w:val="none"/>
        </w:rPr>
      </w:pPr>
      <w:r>
        <w:rPr>
          <w:rFonts w:hint="eastAsia" w:ascii="仿宋" w:hAnsi="仿宋" w:eastAsia="仿宋"/>
          <w:color w:val="auto"/>
          <w:sz w:val="32"/>
          <w:szCs w:val="32"/>
          <w:highlight w:val="none"/>
        </w:rPr>
        <w:t>（图4：财政拨款收、支决算总计变动情况）（柱状图）</w:t>
      </w:r>
    </w:p>
    <w:p>
      <w:pPr>
        <w:pStyle w:val="5"/>
        <w:keepNext/>
        <w:keepLines/>
        <w:pageBreakBefore w:val="0"/>
        <w:widowControl w:val="0"/>
        <w:shd w:val="clear"/>
        <w:kinsoku/>
        <w:wordWrap/>
        <w:overflowPunct/>
        <w:topLinePunct w:val="0"/>
        <w:autoSpaceDE/>
        <w:autoSpaceDN/>
        <w:bidi w:val="0"/>
        <w:adjustRightInd/>
        <w:snapToGrid/>
        <w:spacing w:line="416" w:lineRule="auto"/>
        <w:ind w:firstLine="643" w:firstLineChars="200"/>
        <w:textAlignment w:val="auto"/>
        <w:rPr>
          <w:color w:val="auto"/>
          <w:highlight w:val="none"/>
        </w:rPr>
      </w:pPr>
      <w:bookmarkStart w:id="36" w:name="_Toc15377209"/>
      <w:bookmarkStart w:id="37" w:name="_Toc6927"/>
      <w:bookmarkStart w:id="38" w:name="_Toc15396607"/>
      <w:r>
        <w:rPr>
          <w:rFonts w:hint="eastAsia"/>
          <w:color w:val="auto"/>
          <w:highlight w:val="none"/>
        </w:rPr>
        <w:t>五、一般公共预算财政拨款支出决算情况说明</w:t>
      </w:r>
      <w:bookmarkEnd w:id="36"/>
      <w:bookmarkEnd w:id="37"/>
      <w:bookmarkEnd w:id="38"/>
    </w:p>
    <w:p>
      <w:pPr>
        <w:shd w:val="clear"/>
        <w:spacing w:line="600" w:lineRule="exact"/>
        <w:ind w:firstLine="643" w:firstLineChars="200"/>
        <w:outlineLvl w:val="2"/>
        <w:rPr>
          <w:rFonts w:ascii="仿宋" w:hAnsi="仿宋" w:eastAsia="仿宋"/>
          <w:b/>
          <w:color w:val="auto"/>
          <w:sz w:val="32"/>
          <w:szCs w:val="32"/>
          <w:highlight w:val="none"/>
        </w:rPr>
      </w:pPr>
      <w:bookmarkStart w:id="39" w:name="_Toc15377210"/>
      <w:r>
        <w:rPr>
          <w:rFonts w:hint="eastAsia" w:ascii="仿宋" w:hAnsi="仿宋" w:eastAsia="仿宋"/>
          <w:b/>
          <w:color w:val="auto"/>
          <w:sz w:val="32"/>
          <w:szCs w:val="32"/>
          <w:highlight w:val="none"/>
        </w:rPr>
        <w:t>（一）一般公共预算财政拨款支出决算总体情况</w:t>
      </w:r>
      <w:bookmarkEnd w:id="39"/>
    </w:p>
    <w:p>
      <w:pPr>
        <w:shd w:val="clea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2022年一般公共预算财政拨款支出341.63万元，占本年支出合计的99.72%。与2021年相比，一般公共预算财政拨款增加30.01万元，增加9.63%。主要变动原因是2022年在职职工基本工资、退休人员基础绩效奖和地震科普宣传支出增加。</w:t>
      </w:r>
    </w:p>
    <w:p>
      <w:pPr>
        <w:shd w:val="clear"/>
        <w:ind w:firstLine="420" w:firstLineChars="200"/>
        <w:jc w:val="left"/>
        <w:rPr>
          <w:rFonts w:hint="eastAsia" w:ascii="仿宋" w:hAnsi="仿宋" w:eastAsia="仿宋"/>
          <w:color w:val="auto"/>
          <w:sz w:val="32"/>
          <w:szCs w:val="32"/>
          <w:highlight w:val="none"/>
        </w:rPr>
      </w:pPr>
      <w:r>
        <w:rPr>
          <w:color w:val="auto"/>
          <w:highlight w:val="none"/>
        </w:rPr>
        <w:drawing>
          <wp:inline distT="0" distB="0" distL="114300" distR="114300">
            <wp:extent cx="5256530" cy="1513205"/>
            <wp:effectExtent l="4445" t="4445" r="15875" b="63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hd w:val="clea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hd w:val="clear"/>
        <w:spacing w:line="600" w:lineRule="exact"/>
        <w:ind w:firstLine="640" w:firstLineChars="200"/>
        <w:rPr>
          <w:rFonts w:ascii="仿宋" w:hAnsi="仿宋" w:eastAsia="仿宋"/>
          <w:color w:val="auto"/>
          <w:sz w:val="32"/>
          <w:szCs w:val="32"/>
          <w:highlight w:val="none"/>
        </w:rPr>
      </w:pPr>
    </w:p>
    <w:p>
      <w:pPr>
        <w:shd w:val="clear"/>
        <w:spacing w:line="600" w:lineRule="exact"/>
        <w:ind w:firstLine="643" w:firstLineChars="200"/>
        <w:outlineLvl w:val="2"/>
        <w:rPr>
          <w:rFonts w:ascii="仿宋" w:hAnsi="仿宋" w:eastAsia="仿宋"/>
          <w:b/>
          <w:color w:val="auto"/>
          <w:sz w:val="32"/>
          <w:szCs w:val="32"/>
          <w:highlight w:val="none"/>
        </w:rPr>
      </w:pPr>
      <w:bookmarkStart w:id="40" w:name="_Toc15377211"/>
      <w:r>
        <w:rPr>
          <w:rFonts w:hint="eastAsia" w:ascii="仿宋" w:hAnsi="仿宋" w:eastAsia="仿宋"/>
          <w:b/>
          <w:color w:val="auto"/>
          <w:sz w:val="32"/>
          <w:szCs w:val="32"/>
          <w:highlight w:val="none"/>
        </w:rPr>
        <w:t>（二）一般公共预算财政拨款支出决算结构情况</w:t>
      </w:r>
      <w:bookmarkEnd w:id="40"/>
    </w:p>
    <w:p>
      <w:pPr>
        <w:shd w:val="clear"/>
        <w:spacing w:line="600" w:lineRule="exact"/>
        <w:ind w:firstLine="640"/>
        <w:rPr>
          <w:rFonts w:hint="eastAsia" w:ascii="仿宋" w:hAnsi="仿宋" w:eastAsia="仿宋"/>
          <w:b/>
          <w:color w:val="auto"/>
          <w:sz w:val="32"/>
          <w:szCs w:val="32"/>
          <w:highlight w:val="none"/>
        </w:rPr>
      </w:pPr>
      <w:r>
        <w:rPr>
          <w:rFonts w:hint="eastAsia" w:ascii="仿宋" w:hAnsi="仿宋" w:eastAsia="仿宋"/>
          <w:b w:val="0"/>
          <w:bCs/>
          <w:color w:val="auto"/>
          <w:sz w:val="32"/>
          <w:szCs w:val="32"/>
          <w:highlight w:val="none"/>
        </w:rPr>
        <w:t>2022年一般公共预算财政拨款支出341.63万元，主要用于以下方面</w:t>
      </w:r>
      <w:r>
        <w:rPr>
          <w:rFonts w:hint="eastAsia" w:ascii="仿宋" w:hAnsi="仿宋" w:eastAsia="仿宋"/>
          <w:b w:val="0"/>
          <w:bCs/>
          <w:color w:val="auto"/>
          <w:sz w:val="32"/>
          <w:szCs w:val="32"/>
          <w:highlight w:val="none"/>
          <w:lang w:eastAsia="zh-CN"/>
        </w:rPr>
        <w:t>：</w:t>
      </w:r>
      <w:r>
        <w:rPr>
          <w:rFonts w:hint="eastAsia" w:ascii="仿宋" w:hAnsi="仿宋" w:eastAsia="仿宋"/>
          <w:b w:val="0"/>
          <w:bCs/>
          <w:color w:val="auto"/>
          <w:sz w:val="32"/>
          <w:szCs w:val="32"/>
          <w:highlight w:val="none"/>
        </w:rPr>
        <w:t>社会保障和就业支出44.32万元，占12.97%；卫生健康支出8.61万元，占2.52%；住房保障支出26.57万元，占7.78%；灾害防治及应急管理支出262.13万元，占76.73%。</w:t>
      </w:r>
    </w:p>
    <w:p>
      <w:pPr>
        <w:shd w:val="clear"/>
        <w:ind w:firstLine="641"/>
        <w:rPr>
          <w:rFonts w:hint="eastAsia" w:ascii="仿宋" w:hAnsi="仿宋" w:eastAsia="仿宋"/>
          <w:color w:val="auto"/>
          <w:sz w:val="32"/>
          <w:szCs w:val="32"/>
          <w:highlight w:val="none"/>
        </w:rPr>
      </w:pPr>
      <w:r>
        <w:rPr>
          <w:color w:val="auto"/>
          <w:highlight w:val="none"/>
        </w:rPr>
        <w:drawing>
          <wp:inline distT="0" distB="0" distL="114300" distR="114300">
            <wp:extent cx="3860165" cy="1706880"/>
            <wp:effectExtent l="4445" t="4445" r="21590" b="222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hd w:val="clea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hd w:val="clear"/>
        <w:spacing w:line="600" w:lineRule="exact"/>
        <w:ind w:firstLine="640" w:firstLineChars="200"/>
        <w:rPr>
          <w:rFonts w:ascii="仿宋" w:hAnsi="仿宋" w:eastAsia="仿宋"/>
          <w:color w:val="auto"/>
          <w:sz w:val="32"/>
          <w:szCs w:val="32"/>
          <w:highlight w:val="none"/>
        </w:rPr>
      </w:pPr>
    </w:p>
    <w:p>
      <w:pPr>
        <w:shd w:val="clear"/>
        <w:spacing w:line="600" w:lineRule="exact"/>
        <w:ind w:firstLine="643" w:firstLineChars="200"/>
        <w:outlineLvl w:val="2"/>
        <w:rPr>
          <w:rFonts w:ascii="仿宋" w:hAnsi="仿宋" w:eastAsia="仿宋"/>
          <w:b/>
          <w:color w:val="auto"/>
          <w:sz w:val="32"/>
          <w:szCs w:val="32"/>
          <w:highlight w:val="none"/>
        </w:rPr>
      </w:pPr>
      <w:bookmarkStart w:id="41" w:name="_Toc15377212"/>
      <w:r>
        <w:rPr>
          <w:rFonts w:hint="eastAsia" w:ascii="仿宋" w:hAnsi="仿宋" w:eastAsia="仿宋"/>
          <w:b/>
          <w:color w:val="auto"/>
          <w:sz w:val="32"/>
          <w:szCs w:val="32"/>
          <w:highlight w:val="none"/>
        </w:rPr>
        <w:t>（三）一般公共预算财政拨款支出决算具体情况</w:t>
      </w:r>
      <w:bookmarkEnd w:id="41"/>
    </w:p>
    <w:p>
      <w:pPr>
        <w:shd w:val="clear"/>
        <w:spacing w:line="600" w:lineRule="exact"/>
        <w:ind w:firstLine="643" w:firstLineChars="200"/>
        <w:outlineLvl w:val="2"/>
        <w:rPr>
          <w:rFonts w:ascii="仿宋" w:hAnsi="仿宋" w:eastAsia="仿宋"/>
          <w:color w:val="auto"/>
          <w:sz w:val="32"/>
          <w:szCs w:val="32"/>
          <w:highlight w:val="none"/>
        </w:rPr>
      </w:pPr>
      <w:bookmarkStart w:id="42" w:name="_Toc15377444"/>
      <w:bookmarkStart w:id="43" w:name="_Toc15377213"/>
      <w:bookmarkStart w:id="44"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般公共预算支出决算数为341.63万元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99.86</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42"/>
      <w:bookmarkEnd w:id="43"/>
      <w:bookmarkEnd w:id="44"/>
    </w:p>
    <w:p>
      <w:pPr>
        <w:keepNext w:val="0"/>
        <w:keepLines w:val="0"/>
        <w:pageBreakBefore w:val="0"/>
        <w:widowControl w:val="0"/>
        <w:numPr>
          <w:ilvl w:val="0"/>
          <w:numId w:val="3"/>
        </w:numPr>
        <w:shd w:val="clear"/>
        <w:kinsoku/>
        <w:wordWrap/>
        <w:overflowPunct/>
        <w:topLinePunct w:val="0"/>
        <w:autoSpaceDE/>
        <w:autoSpaceDN/>
        <w:bidi w:val="0"/>
        <w:adjustRightInd/>
        <w:snapToGrid/>
        <w:spacing w:line="600" w:lineRule="exact"/>
        <w:ind w:left="0" w:leftChars="0" w:firstLine="400" w:firstLineChars="0"/>
        <w:textAlignment w:val="auto"/>
        <w:rPr>
          <w:rStyle w:val="17"/>
          <w:rFonts w:hint="eastAsia" w:ascii="仿宋_GB2312" w:hAnsi="仿宋" w:eastAsia="仿宋_GB2312"/>
          <w:b w:val="0"/>
          <w:bCs/>
          <w:color w:val="auto"/>
          <w:sz w:val="32"/>
          <w:szCs w:val="32"/>
          <w:highlight w:val="none"/>
        </w:rPr>
      </w:pPr>
      <w:r>
        <w:rPr>
          <w:rStyle w:val="17"/>
          <w:rFonts w:hint="eastAsia" w:ascii="仿宋_GB2312" w:hAnsi="仿宋" w:eastAsia="仿宋_GB2312"/>
          <w:bCs/>
          <w:color w:val="auto"/>
          <w:sz w:val="32"/>
          <w:szCs w:val="32"/>
          <w:highlight w:val="none"/>
        </w:rPr>
        <w:t>社会保障和就业支出（类）行政事业单位养老支出（款）事业单位离退休</w:t>
      </w:r>
      <w:r>
        <w:rPr>
          <w:rStyle w:val="17"/>
          <w:rFonts w:hint="eastAsia" w:ascii="仿宋_GB2312" w:hAnsi="仿宋" w:eastAsia="仿宋_GB2312"/>
          <w:bCs/>
          <w:color w:val="auto"/>
          <w:sz w:val="32"/>
          <w:szCs w:val="32"/>
          <w:highlight w:val="none"/>
          <w:lang w:eastAsia="zh-CN"/>
        </w:rPr>
        <w:t>（</w:t>
      </w:r>
      <w:r>
        <w:rPr>
          <w:rStyle w:val="17"/>
          <w:rFonts w:hint="eastAsia" w:ascii="仿宋_GB2312" w:hAnsi="仿宋" w:eastAsia="仿宋_GB2312"/>
          <w:bCs/>
          <w:color w:val="auto"/>
          <w:sz w:val="32"/>
          <w:szCs w:val="32"/>
          <w:highlight w:val="none"/>
        </w:rPr>
        <w:t>项</w:t>
      </w:r>
      <w:r>
        <w:rPr>
          <w:rStyle w:val="17"/>
          <w:rFonts w:hint="eastAsia" w:ascii="仿宋_GB2312" w:hAnsi="仿宋" w:eastAsia="仿宋_GB2312"/>
          <w:bCs/>
          <w:color w:val="auto"/>
          <w:sz w:val="32"/>
          <w:szCs w:val="32"/>
          <w:highlight w:val="none"/>
          <w:lang w:eastAsia="zh-CN"/>
        </w:rPr>
        <w:t>）</w:t>
      </w:r>
      <w:r>
        <w:rPr>
          <w:rStyle w:val="17"/>
          <w:rFonts w:hint="eastAsia" w:ascii="仿宋_GB2312" w:hAnsi="仿宋" w:eastAsia="仿宋_GB2312"/>
          <w:bCs/>
          <w:color w:val="auto"/>
          <w:sz w:val="32"/>
          <w:szCs w:val="32"/>
          <w:highlight w:val="none"/>
        </w:rPr>
        <w:t>：</w:t>
      </w:r>
      <w:r>
        <w:rPr>
          <w:rStyle w:val="17"/>
          <w:rFonts w:hint="eastAsia" w:ascii="仿宋_GB2312" w:hAnsi="仿宋" w:eastAsia="仿宋_GB2312"/>
          <w:b w:val="0"/>
          <w:color w:val="auto"/>
          <w:sz w:val="32"/>
          <w:szCs w:val="32"/>
          <w:highlight w:val="none"/>
        </w:rPr>
        <w:t>支出决算为25.62万元，</w:t>
      </w:r>
      <w:r>
        <w:rPr>
          <w:rStyle w:val="17"/>
          <w:rFonts w:hint="eastAsia" w:ascii="仿宋_GB2312" w:hAnsi="仿宋" w:eastAsia="仿宋_GB2312"/>
          <w:b w:val="0"/>
          <w:bCs/>
          <w:color w:val="auto"/>
          <w:sz w:val="32"/>
          <w:szCs w:val="32"/>
          <w:highlight w:val="none"/>
        </w:rPr>
        <w:t>完成预算100%。</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600" w:lineRule="exact"/>
        <w:ind w:left="0" w:leftChars="0" w:firstLine="400" w:firstLineChars="0"/>
        <w:textAlignment w:val="auto"/>
        <w:rPr>
          <w:rStyle w:val="17"/>
          <w:rFonts w:hint="eastAsia" w:ascii="仿宋_GB2312" w:hAnsi="仿宋" w:eastAsia="仿宋_GB2312"/>
          <w:b w:val="0"/>
          <w:bCs/>
          <w:color w:val="auto"/>
          <w:sz w:val="32"/>
          <w:szCs w:val="32"/>
          <w:highlight w:val="none"/>
        </w:rPr>
      </w:pPr>
      <w:r>
        <w:rPr>
          <w:rStyle w:val="17"/>
          <w:rFonts w:hint="eastAsia" w:ascii="仿宋_GB2312" w:hAnsi="仿宋" w:eastAsia="仿宋_GB2312"/>
          <w:bCs/>
          <w:color w:val="auto"/>
          <w:sz w:val="32"/>
          <w:szCs w:val="32"/>
          <w:highlight w:val="none"/>
        </w:rPr>
        <w:t>社会保障和就业支出（类）行政事业单位养老支出（款）机关事业单位基本养老保险缴费支出（项）：</w:t>
      </w:r>
      <w:r>
        <w:rPr>
          <w:rStyle w:val="17"/>
          <w:rFonts w:hint="eastAsia" w:ascii="仿宋_GB2312" w:hAnsi="仿宋" w:eastAsia="仿宋_GB2312"/>
          <w:b w:val="0"/>
          <w:color w:val="auto"/>
          <w:sz w:val="32"/>
          <w:szCs w:val="32"/>
          <w:highlight w:val="none"/>
        </w:rPr>
        <w:t>支出决算为16.22万元，</w:t>
      </w:r>
      <w:r>
        <w:rPr>
          <w:rStyle w:val="17"/>
          <w:rFonts w:hint="eastAsia" w:ascii="仿宋_GB2312" w:hAnsi="仿宋" w:eastAsia="仿宋_GB2312"/>
          <w:b w:val="0"/>
          <w:bCs/>
          <w:color w:val="auto"/>
          <w:sz w:val="32"/>
          <w:szCs w:val="32"/>
          <w:highlight w:val="none"/>
        </w:rPr>
        <w:t>完成预算100%。</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600" w:lineRule="exact"/>
        <w:ind w:left="0" w:leftChars="0" w:firstLine="400" w:firstLineChars="0"/>
        <w:textAlignment w:val="auto"/>
        <w:rPr>
          <w:rFonts w:ascii="仿宋_GB2312" w:hAnsi="仿宋" w:eastAsia="仿宋_GB2312"/>
          <w:b/>
          <w:color w:val="auto"/>
          <w:sz w:val="32"/>
          <w:szCs w:val="32"/>
          <w:highlight w:val="none"/>
        </w:rPr>
      </w:pPr>
      <w:r>
        <w:rPr>
          <w:rStyle w:val="17"/>
          <w:rFonts w:hint="eastAsia" w:ascii="仿宋_GB2312" w:hAnsi="仿宋" w:eastAsia="仿宋_GB2312"/>
          <w:bCs/>
          <w:color w:val="auto"/>
          <w:sz w:val="32"/>
          <w:szCs w:val="32"/>
          <w:highlight w:val="none"/>
        </w:rPr>
        <w:t>社会保障和就业支出（类）其他社会保障和就业支出（款</w:t>
      </w:r>
      <w:r>
        <w:rPr>
          <w:rStyle w:val="17"/>
          <w:rFonts w:ascii="仿宋_GB2312" w:hAnsi="仿宋" w:eastAsia="仿宋_GB2312"/>
          <w:bCs/>
          <w:color w:val="auto"/>
          <w:sz w:val="32"/>
          <w:szCs w:val="32"/>
          <w:highlight w:val="none"/>
        </w:rPr>
        <w:t>）</w:t>
      </w:r>
      <w:r>
        <w:rPr>
          <w:rStyle w:val="17"/>
          <w:rFonts w:hint="eastAsia" w:ascii="仿宋_GB2312" w:hAnsi="仿宋" w:eastAsia="仿宋_GB2312"/>
          <w:bCs/>
          <w:color w:val="auto"/>
          <w:sz w:val="32"/>
          <w:szCs w:val="32"/>
          <w:highlight w:val="none"/>
        </w:rPr>
        <w:t>其他社会保障和就业支出（项</w:t>
      </w:r>
      <w:r>
        <w:rPr>
          <w:rStyle w:val="17"/>
          <w:rFonts w:ascii="仿宋_GB2312" w:hAnsi="仿宋" w:eastAsia="仿宋_GB2312"/>
          <w:bCs/>
          <w:color w:val="auto"/>
          <w:sz w:val="32"/>
          <w:szCs w:val="32"/>
          <w:highlight w:val="none"/>
        </w:rPr>
        <w:t>）</w:t>
      </w:r>
      <w:r>
        <w:rPr>
          <w:rStyle w:val="17"/>
          <w:rFonts w:hint="eastAsia" w:ascii="仿宋_GB2312" w:hAnsi="仿宋" w:eastAsia="仿宋_GB2312"/>
          <w:bCs/>
          <w:color w:val="auto"/>
          <w:sz w:val="32"/>
          <w:szCs w:val="32"/>
          <w:highlight w:val="none"/>
        </w:rPr>
        <w:t>：</w:t>
      </w:r>
      <w:r>
        <w:rPr>
          <w:rStyle w:val="17"/>
          <w:rFonts w:hint="eastAsia" w:ascii="仿宋_GB2312" w:hAnsi="仿宋" w:eastAsia="仿宋_GB2312"/>
          <w:b w:val="0"/>
          <w:color w:val="auto"/>
          <w:sz w:val="32"/>
          <w:szCs w:val="32"/>
          <w:highlight w:val="none"/>
        </w:rPr>
        <w:t>支出决算为</w:t>
      </w:r>
      <w:r>
        <w:rPr>
          <w:rStyle w:val="17"/>
          <w:rFonts w:hint="eastAsia" w:ascii="仿宋_GB2312" w:hAnsi="仿宋" w:eastAsia="仿宋_GB2312"/>
          <w:b w:val="0"/>
          <w:bCs/>
          <w:color w:val="auto"/>
          <w:sz w:val="32"/>
          <w:szCs w:val="32"/>
          <w:highlight w:val="none"/>
        </w:rPr>
        <w:t>2.49万</w:t>
      </w:r>
      <w:r>
        <w:rPr>
          <w:rStyle w:val="17"/>
          <w:rFonts w:ascii="仿宋_GB2312" w:hAnsi="仿宋" w:eastAsia="仿宋_GB2312"/>
          <w:b w:val="0"/>
          <w:bCs/>
          <w:color w:val="auto"/>
          <w:sz w:val="32"/>
          <w:szCs w:val="32"/>
          <w:highlight w:val="none"/>
        </w:rPr>
        <w:t>元</w:t>
      </w:r>
      <w:r>
        <w:rPr>
          <w:rStyle w:val="17"/>
          <w:rFonts w:hint="eastAsia" w:ascii="仿宋_GB2312" w:hAnsi="仿宋" w:eastAsia="仿宋_GB2312"/>
          <w:b w:val="0"/>
          <w:bCs/>
          <w:color w:val="auto"/>
          <w:sz w:val="32"/>
          <w:szCs w:val="32"/>
          <w:highlight w:val="none"/>
        </w:rPr>
        <w:t>，完成预算100%。</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600" w:lineRule="exact"/>
        <w:ind w:left="0" w:leftChars="0" w:firstLine="400" w:firstLineChars="0"/>
        <w:textAlignment w:val="auto"/>
        <w:rPr>
          <w:rStyle w:val="17"/>
          <w:rFonts w:ascii="仿宋_GB2312" w:hAnsi="仿宋" w:eastAsia="仿宋_GB2312"/>
          <w:bCs/>
          <w:color w:val="auto"/>
          <w:sz w:val="32"/>
          <w:szCs w:val="32"/>
          <w:highlight w:val="none"/>
        </w:rPr>
      </w:pPr>
      <w:r>
        <w:rPr>
          <w:rStyle w:val="17"/>
          <w:rFonts w:hint="eastAsia" w:ascii="仿宋_GB2312" w:hAnsi="仿宋" w:eastAsia="仿宋_GB2312"/>
          <w:bCs/>
          <w:color w:val="auto"/>
          <w:sz w:val="32"/>
          <w:szCs w:val="32"/>
          <w:highlight w:val="none"/>
        </w:rPr>
        <w:t>卫生健康支出（类）行政事业单位医疗（款）事业单位医疗（项）：</w:t>
      </w:r>
      <w:r>
        <w:rPr>
          <w:rStyle w:val="17"/>
          <w:rFonts w:hint="eastAsia" w:ascii="仿宋_GB2312" w:hAnsi="仿宋" w:eastAsia="仿宋_GB2312"/>
          <w:b w:val="0"/>
          <w:bCs/>
          <w:color w:val="auto"/>
          <w:sz w:val="32"/>
          <w:szCs w:val="32"/>
          <w:highlight w:val="none"/>
        </w:rPr>
        <w:t>支出决算为8.61万元，完成预算100%。</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600" w:lineRule="exact"/>
        <w:ind w:left="0" w:leftChars="0" w:firstLine="400" w:firstLineChars="0"/>
        <w:textAlignment w:val="auto"/>
        <w:rPr>
          <w:rFonts w:hint="eastAsia"/>
          <w:color w:val="auto"/>
          <w:highlight w:val="none"/>
        </w:rPr>
      </w:pPr>
      <w:r>
        <w:rPr>
          <w:rFonts w:hint="eastAsia" w:ascii="仿宋_GB2312" w:hAnsi="仿宋" w:eastAsia="仿宋_GB2312"/>
          <w:b/>
          <w:bCs/>
          <w:color w:val="auto"/>
          <w:sz w:val="32"/>
          <w:szCs w:val="32"/>
          <w:highlight w:val="none"/>
        </w:rPr>
        <w:t>住房保障支出</w:t>
      </w:r>
      <w:r>
        <w:rPr>
          <w:rStyle w:val="17"/>
          <w:rFonts w:hint="eastAsia" w:ascii="仿宋_GB2312" w:hAnsi="仿宋" w:eastAsia="仿宋_GB2312"/>
          <w:bCs/>
          <w:color w:val="auto"/>
          <w:sz w:val="32"/>
          <w:szCs w:val="32"/>
          <w:highlight w:val="none"/>
        </w:rPr>
        <w:t>（类）住房改革支出（款）住房公积金（项）</w:t>
      </w:r>
      <w:r>
        <w:rPr>
          <w:rStyle w:val="17"/>
          <w:rFonts w:hint="eastAsia" w:ascii="仿宋_GB2312" w:hAnsi="仿宋" w:eastAsia="仿宋_GB2312"/>
          <w:bCs/>
          <w:color w:val="auto"/>
          <w:sz w:val="32"/>
          <w:szCs w:val="32"/>
          <w:highlight w:val="none"/>
          <w:lang w:eastAsia="zh-CN"/>
        </w:rPr>
        <w:t>：</w:t>
      </w:r>
      <w:r>
        <w:rPr>
          <w:rStyle w:val="17"/>
          <w:rFonts w:hint="eastAsia" w:ascii="仿宋_GB2312" w:hAnsi="仿宋" w:eastAsia="仿宋_GB2312"/>
          <w:b w:val="0"/>
          <w:bCs/>
          <w:color w:val="auto"/>
          <w:sz w:val="32"/>
          <w:szCs w:val="32"/>
          <w:highlight w:val="none"/>
        </w:rPr>
        <w:t>支出决算为26.57万元，完成预算100%。</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600" w:lineRule="exact"/>
        <w:ind w:left="0" w:leftChars="0" w:firstLine="400" w:firstLineChars="0"/>
        <w:textAlignment w:val="auto"/>
        <w:rPr>
          <w:rFonts w:hint="eastAsia"/>
          <w:color w:val="auto"/>
          <w:highlight w:val="none"/>
        </w:rPr>
      </w:pPr>
      <w:r>
        <w:rPr>
          <w:rFonts w:hint="eastAsia" w:ascii="仿宋_GB2312" w:hAnsi="仿宋" w:eastAsia="仿宋_GB2312"/>
          <w:b/>
          <w:color w:val="auto"/>
          <w:sz w:val="32"/>
          <w:szCs w:val="32"/>
          <w:highlight w:val="none"/>
          <w:shd w:val="clear" w:color="auto" w:fill="auto"/>
        </w:rPr>
        <w:t>灾害防治及应急管理支出</w:t>
      </w:r>
      <w:r>
        <w:rPr>
          <w:rStyle w:val="17"/>
          <w:rFonts w:hint="eastAsia" w:ascii="仿宋_GB2312" w:hAnsi="仿宋" w:eastAsia="仿宋_GB2312"/>
          <w:color w:val="auto"/>
          <w:sz w:val="32"/>
          <w:szCs w:val="32"/>
          <w:highlight w:val="none"/>
          <w:shd w:val="clear" w:color="auto" w:fill="auto"/>
        </w:rPr>
        <w:t>（类）</w:t>
      </w:r>
      <w:r>
        <w:rPr>
          <w:rStyle w:val="17"/>
          <w:rFonts w:hint="eastAsia" w:ascii="仿宋_GB2312" w:hAnsi="仿宋" w:eastAsia="仿宋_GB2312"/>
          <w:bCs/>
          <w:color w:val="auto"/>
          <w:sz w:val="32"/>
          <w:szCs w:val="32"/>
          <w:highlight w:val="none"/>
          <w:shd w:val="clear" w:color="auto" w:fill="auto"/>
        </w:rPr>
        <w:t>地震事务（款）行政运行（项）：</w:t>
      </w:r>
      <w:r>
        <w:rPr>
          <w:rStyle w:val="17"/>
          <w:rFonts w:hint="eastAsia" w:ascii="仿宋_GB2312" w:hAnsi="仿宋" w:eastAsia="仿宋_GB2312"/>
          <w:b w:val="0"/>
          <w:bCs/>
          <w:color w:val="auto"/>
          <w:sz w:val="32"/>
          <w:szCs w:val="32"/>
          <w:highlight w:val="none"/>
          <w:shd w:val="clear" w:color="auto" w:fill="auto"/>
        </w:rPr>
        <w:t>支出决算为227.96万元，完成预算</w:t>
      </w:r>
      <w:r>
        <w:rPr>
          <w:rStyle w:val="17"/>
          <w:rFonts w:hint="eastAsia" w:ascii="仿宋_GB2312" w:hAnsi="仿宋" w:eastAsia="仿宋_GB2312"/>
          <w:b w:val="0"/>
          <w:bCs/>
          <w:color w:val="auto"/>
          <w:sz w:val="32"/>
          <w:szCs w:val="32"/>
          <w:highlight w:val="none"/>
          <w:shd w:val="clear" w:color="auto" w:fill="auto"/>
          <w:lang w:val="en-US" w:eastAsia="zh-CN"/>
        </w:rPr>
        <w:t>99.82</w:t>
      </w:r>
      <w:r>
        <w:rPr>
          <w:rStyle w:val="17"/>
          <w:rFonts w:hint="eastAsia" w:ascii="仿宋_GB2312" w:hAnsi="仿宋" w:eastAsia="仿宋_GB2312"/>
          <w:b w:val="0"/>
          <w:bCs/>
          <w:color w:val="auto"/>
          <w:sz w:val="32"/>
          <w:szCs w:val="32"/>
          <w:highlight w:val="none"/>
          <w:shd w:val="clear" w:color="auto" w:fill="auto"/>
        </w:rPr>
        <w:t>%，决算数小于预算数的主要原因是现金结余。</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600" w:lineRule="exact"/>
        <w:ind w:left="0" w:leftChars="0" w:firstLine="400" w:firstLineChars="0"/>
        <w:textAlignment w:val="auto"/>
        <w:rPr>
          <w:rFonts w:hint="eastAsia"/>
          <w:color w:val="auto"/>
          <w:highlight w:val="none"/>
        </w:rPr>
      </w:pPr>
      <w:r>
        <w:rPr>
          <w:rFonts w:hint="eastAsia" w:ascii="仿宋_GB2312" w:hAnsi="仿宋" w:eastAsia="仿宋_GB2312"/>
          <w:b/>
          <w:color w:val="000000"/>
          <w:sz w:val="32"/>
          <w:szCs w:val="32"/>
          <w:highlight w:val="none"/>
        </w:rPr>
        <w:t>灾害防治及应急管理支出</w:t>
      </w:r>
      <w:r>
        <w:rPr>
          <w:rStyle w:val="17"/>
          <w:rFonts w:hint="eastAsia" w:ascii="仿宋_GB2312" w:hAnsi="仿宋" w:eastAsia="仿宋_GB2312"/>
          <w:color w:val="000000"/>
          <w:sz w:val="32"/>
          <w:szCs w:val="32"/>
          <w:highlight w:val="none"/>
        </w:rPr>
        <w:t>（类）</w:t>
      </w:r>
      <w:r>
        <w:rPr>
          <w:rStyle w:val="17"/>
          <w:rFonts w:hint="eastAsia" w:ascii="仿宋_GB2312" w:hAnsi="仿宋" w:eastAsia="仿宋_GB2312"/>
          <w:bCs/>
          <w:color w:val="000000"/>
          <w:sz w:val="32"/>
          <w:szCs w:val="32"/>
          <w:highlight w:val="none"/>
        </w:rPr>
        <w:t>地震事务（款）地震监测（项）：</w:t>
      </w:r>
      <w:r>
        <w:rPr>
          <w:rStyle w:val="17"/>
          <w:rFonts w:hint="eastAsia" w:ascii="仿宋_GB2312" w:hAnsi="仿宋" w:eastAsia="仿宋_GB2312"/>
          <w:b w:val="0"/>
          <w:bCs/>
          <w:color w:val="000000"/>
          <w:sz w:val="32"/>
          <w:szCs w:val="32"/>
          <w:highlight w:val="none"/>
        </w:rPr>
        <w:t>支出决算为23.26万元，完成预算100%。</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600" w:lineRule="exact"/>
        <w:ind w:left="0" w:leftChars="0" w:firstLine="400" w:firstLineChars="0"/>
        <w:textAlignment w:val="auto"/>
        <w:rPr>
          <w:rFonts w:ascii="仿宋" w:hAnsi="仿宋" w:eastAsia="仿宋"/>
          <w:b/>
          <w:color w:val="auto"/>
          <w:sz w:val="32"/>
          <w:szCs w:val="32"/>
          <w:highlight w:val="none"/>
        </w:rPr>
      </w:pPr>
      <w:r>
        <w:rPr>
          <w:rFonts w:hint="eastAsia" w:ascii="仿宋_GB2312" w:hAnsi="仿宋" w:eastAsia="仿宋_GB2312"/>
          <w:b/>
          <w:color w:val="auto"/>
          <w:sz w:val="32"/>
          <w:szCs w:val="32"/>
          <w:highlight w:val="none"/>
        </w:rPr>
        <w:t>灾害防治及应急管理支出</w:t>
      </w:r>
      <w:r>
        <w:rPr>
          <w:rStyle w:val="17"/>
          <w:rFonts w:hint="eastAsia" w:ascii="仿宋_GB2312" w:hAnsi="仿宋" w:eastAsia="仿宋_GB2312"/>
          <w:color w:val="auto"/>
          <w:sz w:val="32"/>
          <w:szCs w:val="32"/>
          <w:highlight w:val="none"/>
        </w:rPr>
        <w:t>（类）</w:t>
      </w:r>
      <w:r>
        <w:rPr>
          <w:rStyle w:val="17"/>
          <w:rFonts w:hint="eastAsia" w:ascii="仿宋_GB2312" w:hAnsi="仿宋" w:eastAsia="仿宋_GB2312"/>
          <w:bCs/>
          <w:color w:val="auto"/>
          <w:sz w:val="32"/>
          <w:szCs w:val="32"/>
          <w:highlight w:val="none"/>
        </w:rPr>
        <w:t>地震事务（款）其他地震事务支出（项）：</w:t>
      </w:r>
      <w:r>
        <w:rPr>
          <w:rStyle w:val="17"/>
          <w:rFonts w:hint="eastAsia" w:ascii="仿宋_GB2312" w:hAnsi="仿宋" w:eastAsia="仿宋_GB2312"/>
          <w:b w:val="0"/>
          <w:bCs/>
          <w:color w:val="auto"/>
          <w:sz w:val="32"/>
          <w:szCs w:val="32"/>
          <w:highlight w:val="none"/>
        </w:rPr>
        <w:t>支出决算为9.09万元，完成预算100%。</w:t>
      </w:r>
    </w:p>
    <w:p>
      <w:pPr>
        <w:pStyle w:val="5"/>
        <w:keepNext/>
        <w:keepLines/>
        <w:pageBreakBefore w:val="0"/>
        <w:widowControl w:val="0"/>
        <w:shd w:val="clear"/>
        <w:kinsoku/>
        <w:wordWrap/>
        <w:overflowPunct/>
        <w:topLinePunct w:val="0"/>
        <w:autoSpaceDE/>
        <w:autoSpaceDN/>
        <w:bidi w:val="0"/>
        <w:adjustRightInd/>
        <w:snapToGrid/>
        <w:spacing w:line="416" w:lineRule="auto"/>
        <w:ind w:firstLine="643" w:firstLineChars="200"/>
        <w:textAlignment w:val="auto"/>
        <w:rPr>
          <w:color w:val="auto"/>
          <w:highlight w:val="none"/>
        </w:rPr>
      </w:pPr>
      <w:bookmarkStart w:id="45" w:name="_Toc15377214"/>
      <w:bookmarkStart w:id="46" w:name="_Toc27591"/>
      <w:bookmarkStart w:id="47" w:name="_Toc15396608"/>
      <w:r>
        <w:rPr>
          <w:rFonts w:hint="eastAsia"/>
          <w:color w:val="auto"/>
          <w:highlight w:val="none"/>
        </w:rPr>
        <w:t>六、一般公共预算财政拨款基本支出决算情况说明</w:t>
      </w:r>
      <w:bookmarkEnd w:id="45"/>
      <w:bookmarkEnd w:id="46"/>
      <w:bookmarkEnd w:id="47"/>
      <w:r>
        <w:rPr>
          <w:color w:val="auto"/>
          <w:highlight w:val="none"/>
        </w:rPr>
        <w:tab/>
      </w:r>
    </w:p>
    <w:p>
      <w:pPr>
        <w:shd w:val="clea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2022年一般公共预算财政拨款基本支出307.46万元，其中：</w:t>
      </w:r>
    </w:p>
    <w:p>
      <w:pPr>
        <w:shd w:val="clea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人员经费271.60万元，主要包括：基本工资、津贴补贴、奖金、机关事业单位基本养老保险缴费、职工基本医疗保险缴费、其他社会保障缴费、住房公积金、生活补助。</w:t>
      </w:r>
    </w:p>
    <w:p>
      <w:pPr>
        <w:shd w:val="clea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公用经费35.86万元，主要包括：办公费、水费、邮电费、物业管理费、差旅费、会议费、公务接待费、工会经费、福利费、公务用车运行维护费、其他交通费用、其他商品和服务支出。</w:t>
      </w:r>
    </w:p>
    <w:p>
      <w:pPr>
        <w:pStyle w:val="5"/>
        <w:keepNext/>
        <w:keepLines/>
        <w:pageBreakBefore w:val="0"/>
        <w:widowControl w:val="0"/>
        <w:shd w:val="clear"/>
        <w:kinsoku/>
        <w:wordWrap/>
        <w:overflowPunct/>
        <w:topLinePunct w:val="0"/>
        <w:autoSpaceDE/>
        <w:autoSpaceDN/>
        <w:bidi w:val="0"/>
        <w:adjustRightInd/>
        <w:snapToGrid/>
        <w:spacing w:line="416" w:lineRule="auto"/>
        <w:ind w:firstLine="643" w:firstLineChars="200"/>
        <w:textAlignment w:val="auto"/>
        <w:rPr>
          <w:color w:val="auto"/>
          <w:highlight w:val="none"/>
        </w:rPr>
      </w:pPr>
      <w:bookmarkStart w:id="48" w:name="_Toc19110"/>
      <w:bookmarkStart w:id="49" w:name="_Toc15396609"/>
      <w:bookmarkStart w:id="50" w:name="_Toc15377215"/>
      <w:r>
        <w:rPr>
          <w:rFonts w:hint="eastAsia"/>
          <w:color w:val="auto"/>
          <w:highlight w:val="none"/>
        </w:rPr>
        <w:t>七、财政拨款“三公”经费支出决算情况说明</w:t>
      </w:r>
      <w:bookmarkEnd w:id="48"/>
      <w:bookmarkEnd w:id="49"/>
      <w:bookmarkEnd w:id="50"/>
    </w:p>
    <w:p>
      <w:pPr>
        <w:shd w:val="clear"/>
        <w:spacing w:line="600" w:lineRule="exact"/>
        <w:ind w:firstLine="640"/>
        <w:outlineLvl w:val="2"/>
        <w:rPr>
          <w:rFonts w:ascii="仿宋" w:hAnsi="仿宋" w:eastAsia="仿宋"/>
          <w:b/>
          <w:color w:val="auto"/>
          <w:sz w:val="32"/>
          <w:szCs w:val="32"/>
          <w:highlight w:val="none"/>
        </w:rPr>
      </w:pPr>
      <w:bookmarkStart w:id="51" w:name="_Toc15377216"/>
      <w:r>
        <w:rPr>
          <w:rFonts w:hint="eastAsia" w:ascii="仿宋" w:hAnsi="仿宋" w:eastAsia="仿宋"/>
          <w:b/>
          <w:color w:val="auto"/>
          <w:sz w:val="32"/>
          <w:szCs w:val="32"/>
          <w:highlight w:val="none"/>
        </w:rPr>
        <w:t>（一）“三公”经费财政拨款支出决算总体情况说明</w:t>
      </w:r>
      <w:bookmarkEnd w:id="51"/>
    </w:p>
    <w:p>
      <w:pPr>
        <w:shd w:val="clea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202</w:t>
      </w:r>
      <w:r>
        <w:rPr>
          <w:rFonts w:hint="eastAsia" w:ascii="仿宋" w:hAnsi="仿宋" w:eastAsia="仿宋"/>
          <w:color w:val="auto"/>
          <w:sz w:val="32"/>
          <w:szCs w:val="32"/>
          <w:highlight w:val="none"/>
        </w:rPr>
        <w:t>2年“三公”经费财政拨款支出决算为1.96万元，完成预算71.53</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，决算数小于预算数的原因是实际发生公务接待事项较预算时预计事项少。</w:t>
      </w:r>
      <w:r>
        <w:rPr>
          <w:rFonts w:ascii="仿宋" w:hAnsi="仿宋" w:eastAsia="仿宋"/>
          <w:color w:val="auto"/>
          <w:sz w:val="32"/>
          <w:szCs w:val="32"/>
          <w:highlight w:val="none"/>
        </w:rPr>
        <w:t>202</w:t>
      </w:r>
      <w:r>
        <w:rPr>
          <w:rFonts w:hint="eastAsia" w:ascii="仿宋" w:hAnsi="仿宋" w:eastAsia="仿宋"/>
          <w:color w:val="auto"/>
          <w:sz w:val="32"/>
          <w:szCs w:val="32"/>
          <w:highlight w:val="none"/>
        </w:rPr>
        <w:t>2年“三公”经费财政拨款支出决算较2021年增加了0.03万元，增加0.16%，增加的主要原因是公务接待批次人次有所增加。</w:t>
      </w:r>
    </w:p>
    <w:p>
      <w:pPr>
        <w:shd w:val="clear"/>
        <w:spacing w:line="600" w:lineRule="exact"/>
        <w:ind w:firstLine="640"/>
        <w:outlineLvl w:val="2"/>
        <w:rPr>
          <w:rFonts w:ascii="仿宋" w:hAnsi="仿宋" w:eastAsia="仿宋"/>
          <w:b/>
          <w:color w:val="auto"/>
          <w:sz w:val="32"/>
          <w:szCs w:val="32"/>
          <w:highlight w:val="none"/>
        </w:rPr>
      </w:pPr>
      <w:bookmarkStart w:id="52" w:name="_Toc15377217"/>
      <w:r>
        <w:rPr>
          <w:rFonts w:hint="eastAsia" w:ascii="仿宋" w:hAnsi="仿宋" w:eastAsia="仿宋"/>
          <w:b/>
          <w:color w:val="auto"/>
          <w:sz w:val="32"/>
          <w:szCs w:val="32"/>
          <w:highlight w:val="none"/>
        </w:rPr>
        <w:t>（二）“三公”经费财政拨款支出决算具体情况说明</w:t>
      </w:r>
      <w:bookmarkEnd w:id="52"/>
    </w:p>
    <w:p>
      <w:pPr>
        <w:keepNext w:val="0"/>
        <w:keepLines w:val="0"/>
        <w:pageBreakBefore w:val="0"/>
        <w:widowControl w:val="0"/>
        <w:shd w:val="clear"/>
        <w:kinsoku/>
        <w:wordWrap/>
        <w:overflowPunct/>
        <w:topLinePunct w:val="0"/>
        <w:autoSpaceDE/>
        <w:autoSpaceDN/>
        <w:bidi w:val="0"/>
        <w:adjustRightInd/>
        <w:snapToGrid/>
        <w:spacing w:line="600" w:lineRule="exact"/>
        <w:ind w:firstLine="641"/>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202</w:t>
      </w:r>
      <w:r>
        <w:rPr>
          <w:rFonts w:hint="eastAsia" w:ascii="仿宋" w:hAnsi="仿宋" w:eastAsia="仿宋"/>
          <w:color w:val="auto"/>
          <w:sz w:val="32"/>
          <w:szCs w:val="32"/>
          <w:highlight w:val="none"/>
        </w:rPr>
        <w:t>2年“三公”经费财政拨款支出决算中，因公出国（境）费支出决算0万元，占0%；公务用车购置及运行维护费支出决算1.61万元，占82.14</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；公务接待费支出决算0.35万元，占17.86</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hd w:val="clear"/>
        <w:ind w:firstLine="641"/>
        <w:rPr>
          <w:rFonts w:hint="eastAsia" w:ascii="仿宋" w:hAnsi="仿宋" w:eastAsia="仿宋"/>
          <w:color w:val="auto"/>
          <w:sz w:val="32"/>
          <w:szCs w:val="32"/>
          <w:highlight w:val="none"/>
        </w:rPr>
      </w:pPr>
      <w:r>
        <w:rPr>
          <w:color w:val="auto"/>
          <w:highlight w:val="none"/>
        </w:rPr>
        <w:drawing>
          <wp:inline distT="0" distB="0" distL="114300" distR="114300">
            <wp:extent cx="3540125" cy="1753235"/>
            <wp:effectExtent l="5080" t="4445" r="17145" b="1397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hd w:val="clea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hd w:val="clear"/>
        <w:spacing w:line="600" w:lineRule="exact"/>
        <w:ind w:firstLine="640"/>
        <w:rPr>
          <w:rFonts w:ascii="仿宋" w:hAnsi="仿宋" w:eastAsia="仿宋"/>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rPr>
        <w:t>0万元，年初未安排预算，决算数较上年无变化</w:t>
      </w:r>
      <w:r>
        <w:rPr>
          <w:rStyle w:val="17"/>
          <w:rFonts w:hint="eastAsia" w:ascii="仿宋" w:hAnsi="仿宋" w:eastAsia="仿宋"/>
          <w:b w:val="0"/>
          <w:bCs/>
          <w:color w:val="auto"/>
          <w:sz w:val="32"/>
          <w:szCs w:val="32"/>
          <w:highlight w:val="none"/>
        </w:rPr>
        <w:t>。</w:t>
      </w:r>
    </w:p>
    <w:p>
      <w:pPr>
        <w:shd w:val="clea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rPr>
        <w:t>1.61万元</w:t>
      </w:r>
      <w:r>
        <w:rPr>
          <w:rFonts w:hint="eastAsia" w:ascii="仿宋_GB2312" w:eastAsia="仿宋_GB2312"/>
          <w:color w:val="auto"/>
          <w:sz w:val="32"/>
          <w:szCs w:val="32"/>
          <w:highlight w:val="none"/>
          <w:lang w:eastAsia="zh-CN"/>
        </w:rPr>
        <w:t>，</w:t>
      </w:r>
      <w:r>
        <w:rPr>
          <w:rStyle w:val="17"/>
          <w:rFonts w:hint="eastAsia" w:ascii="仿宋" w:hAnsi="仿宋" w:eastAsia="仿宋"/>
          <w:b w:val="0"/>
          <w:bCs/>
          <w:color w:val="auto"/>
          <w:sz w:val="32"/>
          <w:szCs w:val="32"/>
          <w:highlight w:val="none"/>
        </w:rPr>
        <w:t>完成预算100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 w:hAnsi="仿宋" w:eastAsia="仿宋"/>
          <w:color w:val="auto"/>
          <w:sz w:val="32"/>
          <w:szCs w:val="32"/>
          <w:highlight w:val="none"/>
        </w:rPr>
        <w:t>公务用车购置及运行维护费支出决算比</w:t>
      </w:r>
      <w:r>
        <w:rPr>
          <w:rFonts w:ascii="仿宋" w:hAnsi="仿宋" w:eastAsia="仿宋"/>
          <w:color w:val="auto"/>
          <w:sz w:val="32"/>
          <w:szCs w:val="32"/>
          <w:highlight w:val="none"/>
        </w:rPr>
        <w:t>20</w:t>
      </w:r>
      <w:r>
        <w:rPr>
          <w:rFonts w:hint="eastAsia" w:ascii="仿宋" w:hAnsi="仿宋" w:eastAsia="仿宋"/>
          <w:color w:val="auto"/>
          <w:sz w:val="32"/>
          <w:szCs w:val="32"/>
          <w:highlight w:val="none"/>
        </w:rPr>
        <w:t>21年减少0.11万元，下降6.40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。主要原因是厉行节约开支。</w:t>
      </w:r>
    </w:p>
    <w:p>
      <w:pPr>
        <w:shd w:val="clear"/>
        <w:spacing w:line="600" w:lineRule="exact"/>
        <w:ind w:firstLine="643" w:firstLineChars="200"/>
        <w:rPr>
          <w:rFonts w:ascii="仿宋" w:hAnsi="仿宋" w:eastAsia="仿宋_GB2312"/>
          <w:color w:val="auto"/>
          <w:sz w:val="32"/>
          <w:szCs w:val="32"/>
          <w:highlight w:val="none"/>
        </w:rPr>
      </w:pP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rPr>
        <w:t>0万元，</w:t>
      </w:r>
      <w:r>
        <w:rPr>
          <w:rFonts w:hint="default" w:ascii="仿宋_GB2312" w:eastAsia="仿宋_GB2312"/>
          <w:color w:val="auto"/>
          <w:sz w:val="32"/>
          <w:szCs w:val="32"/>
          <w:highlight w:val="none"/>
        </w:rPr>
        <w:t>2022</w:t>
      </w:r>
      <w:r>
        <w:rPr>
          <w:rFonts w:hint="eastAsia" w:ascii="仿宋_GB2312" w:eastAsia="仿宋_GB2312"/>
          <w:color w:val="auto"/>
          <w:sz w:val="32"/>
          <w:szCs w:val="32"/>
          <w:highlight w:val="none"/>
        </w:rPr>
        <w:t>年未购置公务用车。截至2022年12月底单位保有公务用车1辆，其中特种专业技术用车1辆。</w:t>
      </w:r>
    </w:p>
    <w:p>
      <w:pPr>
        <w:shd w:val="clear"/>
        <w:spacing w:line="560" w:lineRule="exact"/>
        <w:ind w:firstLine="640"/>
        <w:rPr>
          <w:color w:val="auto"/>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rPr>
        <w:t>1.61万元。</w:t>
      </w:r>
      <w:r>
        <w:rPr>
          <w:rFonts w:hint="eastAsia" w:ascii="方正仿宋_GBK" w:eastAsia="方正仿宋_GBK"/>
          <w:color w:val="auto"/>
          <w:sz w:val="32"/>
          <w:szCs w:val="32"/>
          <w:highlight w:val="none"/>
        </w:rPr>
        <w:t>主要用于地震流动监测、地震宏观异常核实、防震减灾科普宣传、地震现场勘查等所需的公务用车燃料费、维修费、过路过桥费、保险费等支出。</w:t>
      </w:r>
    </w:p>
    <w:p>
      <w:pPr>
        <w:shd w:val="clear"/>
        <w:spacing w:line="600" w:lineRule="exact"/>
        <w:ind w:firstLine="640"/>
        <w:rPr>
          <w:rFonts w:ascii="仿宋" w:hAnsi="仿宋" w:eastAsia="仿宋"/>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rPr>
        <w:t>0.35万元，</w:t>
      </w:r>
      <w:r>
        <w:rPr>
          <w:rStyle w:val="17"/>
          <w:rFonts w:hint="eastAsia" w:ascii="仿宋" w:hAnsi="仿宋" w:eastAsia="仿宋"/>
          <w:b w:val="0"/>
          <w:bCs/>
          <w:color w:val="auto"/>
          <w:sz w:val="32"/>
          <w:szCs w:val="32"/>
          <w:highlight w:val="none"/>
        </w:rPr>
        <w:t>完成预算31.25</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 w:hAnsi="仿宋" w:eastAsia="仿宋"/>
          <w:color w:val="auto"/>
          <w:sz w:val="32"/>
          <w:szCs w:val="32"/>
          <w:highlight w:val="none"/>
        </w:rPr>
        <w:t>公务接待费支出决算比</w:t>
      </w:r>
      <w:r>
        <w:rPr>
          <w:rFonts w:ascii="仿宋" w:hAnsi="仿宋" w:eastAsia="仿宋"/>
          <w:color w:val="auto"/>
          <w:sz w:val="32"/>
          <w:szCs w:val="32"/>
          <w:highlight w:val="none"/>
        </w:rPr>
        <w:t>20</w:t>
      </w:r>
      <w:r>
        <w:rPr>
          <w:rFonts w:hint="eastAsia" w:ascii="仿宋" w:hAnsi="仿宋" w:eastAsia="仿宋"/>
          <w:color w:val="auto"/>
          <w:sz w:val="32"/>
          <w:szCs w:val="32"/>
          <w:highlight w:val="none"/>
        </w:rPr>
        <w:t>21年增加了0.14万元，增加了66.67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rPr>
        <w:t>的主要原因是公务接待批次人次有所增加。其中：</w:t>
      </w:r>
    </w:p>
    <w:p>
      <w:pPr>
        <w:shd w:val="clear"/>
        <w:spacing w:line="600" w:lineRule="exact"/>
        <w:ind w:firstLine="64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b w:val="0"/>
          <w:bCs/>
          <w:color w:val="auto"/>
          <w:sz w:val="32"/>
          <w:szCs w:val="32"/>
          <w:highlight w:val="none"/>
        </w:rPr>
        <w:t>0.35万元，主要用于中国试验场台站勘选、地震预警项目巡检、台网巡检，以及县区业务工作对接等开支的用餐费。国内公务接待10批次，31人次（不包括陪同人员），共计支出0.35万元，具体内容包括：省专家、领导来广开展中国试验场台站勘选、水库地震台网建设等业务指导公务接待支出0.20万元；县区防震减灾中心汇报应急预案修订、异常核实等工作接待支出0.15万元。</w:t>
      </w:r>
    </w:p>
    <w:p>
      <w:pPr>
        <w:shd w:val="clear"/>
        <w:spacing w:line="600" w:lineRule="exact"/>
        <w:ind w:firstLine="645"/>
        <w:rPr>
          <w:rFonts w:ascii="黑体" w:eastAsia="黑体"/>
          <w:color w:val="auto"/>
          <w:sz w:val="32"/>
          <w:szCs w:val="32"/>
          <w:highlight w:val="none"/>
        </w:rPr>
      </w:pPr>
      <w:r>
        <w:rPr>
          <w:rFonts w:hint="eastAsia" w:ascii="仿宋" w:hAnsi="仿宋" w:eastAsia="仿宋"/>
          <w:b/>
          <w:color w:val="auto"/>
          <w:sz w:val="32"/>
          <w:szCs w:val="32"/>
          <w:highlight w:val="none"/>
        </w:rPr>
        <w:t>外事接待</w:t>
      </w:r>
      <w:r>
        <w:rPr>
          <w:rFonts w:hint="eastAsia" w:ascii="仿宋" w:hAnsi="仿宋" w:eastAsia="仿宋"/>
          <w:b w:val="0"/>
          <w:bCs/>
          <w:color w:val="auto"/>
          <w:sz w:val="32"/>
          <w:szCs w:val="32"/>
          <w:highlight w:val="none"/>
        </w:rPr>
        <w:t>0万元。</w:t>
      </w:r>
      <w:bookmarkStart w:id="53" w:name="_Toc15396610"/>
      <w:bookmarkStart w:id="54" w:name="_Toc15377218"/>
    </w:p>
    <w:p>
      <w:pPr>
        <w:pStyle w:val="5"/>
        <w:keepNext/>
        <w:keepLines/>
        <w:pageBreakBefore w:val="0"/>
        <w:widowControl w:val="0"/>
        <w:shd w:val="clear"/>
        <w:kinsoku/>
        <w:wordWrap/>
        <w:overflowPunct/>
        <w:topLinePunct w:val="0"/>
        <w:autoSpaceDE/>
        <w:autoSpaceDN/>
        <w:bidi w:val="0"/>
        <w:adjustRightInd/>
        <w:snapToGrid/>
        <w:spacing w:line="416" w:lineRule="auto"/>
        <w:ind w:firstLine="643" w:firstLineChars="200"/>
        <w:textAlignment w:val="auto"/>
        <w:rPr>
          <w:color w:val="auto"/>
          <w:highlight w:val="none"/>
        </w:rPr>
      </w:pPr>
      <w:bookmarkStart w:id="55" w:name="_Toc19937"/>
      <w:r>
        <w:rPr>
          <w:rFonts w:hint="eastAsia"/>
          <w:color w:val="auto"/>
          <w:highlight w:val="none"/>
        </w:rPr>
        <w:t>八、政府性基金预算支出决算情况说明</w:t>
      </w:r>
      <w:bookmarkEnd w:id="53"/>
      <w:bookmarkEnd w:id="54"/>
      <w:bookmarkEnd w:id="55"/>
    </w:p>
    <w:p>
      <w:pPr>
        <w:shd w:val="clear"/>
        <w:spacing w:line="600" w:lineRule="exact"/>
        <w:ind w:firstLine="640"/>
        <w:rPr>
          <w:color w:val="auto"/>
          <w:highlight w:val="none"/>
        </w:rPr>
      </w:pPr>
      <w:r>
        <w:rPr>
          <w:rFonts w:hint="eastAsia" w:ascii="仿宋_GB2312" w:eastAsia="仿宋_GB2312"/>
          <w:color w:val="auto"/>
          <w:sz w:val="32"/>
          <w:szCs w:val="32"/>
          <w:highlight w:val="none"/>
        </w:rPr>
        <w:t>2022年政府性基金预算拨款支出0万元。本单位2022年未在政府性基金预算拨款安排“三公”经费支出。</w:t>
      </w:r>
    </w:p>
    <w:p>
      <w:pPr>
        <w:pStyle w:val="5"/>
        <w:keepNext/>
        <w:keepLines/>
        <w:pageBreakBefore w:val="0"/>
        <w:widowControl w:val="0"/>
        <w:numPr>
          <w:ilvl w:val="0"/>
          <w:numId w:val="4"/>
        </w:numPr>
        <w:shd w:val="clear"/>
        <w:kinsoku/>
        <w:wordWrap/>
        <w:overflowPunct/>
        <w:topLinePunct w:val="0"/>
        <w:autoSpaceDE/>
        <w:autoSpaceDN/>
        <w:bidi w:val="0"/>
        <w:adjustRightInd/>
        <w:snapToGrid/>
        <w:spacing w:line="580" w:lineRule="exact"/>
        <w:ind w:firstLine="643" w:firstLineChars="200"/>
        <w:textAlignment w:val="auto"/>
        <w:rPr>
          <w:color w:val="auto"/>
          <w:highlight w:val="none"/>
        </w:rPr>
      </w:pPr>
      <w:bookmarkStart w:id="56" w:name="_Toc15396611"/>
      <w:bookmarkStart w:id="57" w:name="_Toc15377219"/>
      <w:bookmarkStart w:id="58" w:name="_Toc27609"/>
      <w:r>
        <w:rPr>
          <w:rFonts w:hint="eastAsia"/>
          <w:color w:val="auto"/>
          <w:highlight w:val="none"/>
        </w:rPr>
        <w:t>国有资本经营预算支出决算情况说明</w:t>
      </w:r>
      <w:bookmarkEnd w:id="56"/>
      <w:bookmarkEnd w:id="57"/>
      <w:bookmarkEnd w:id="58"/>
    </w:p>
    <w:p>
      <w:pPr>
        <w:pageBreakBefore w:val="0"/>
        <w:widowControl w:val="0"/>
        <w:shd w:val="clear"/>
        <w:kinsoku/>
        <w:wordWrap/>
        <w:overflowPunct/>
        <w:topLinePunct w:val="0"/>
        <w:bidi w:val="0"/>
        <w:snapToGrid/>
        <w:spacing w:line="580" w:lineRule="exact"/>
        <w:ind w:firstLine="640"/>
        <w:textAlignment w:val="auto"/>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Style w:val="5"/>
        <w:keepNext/>
        <w:keepLines/>
        <w:pageBreakBefore w:val="0"/>
        <w:widowControl w:val="0"/>
        <w:numPr>
          <w:ilvl w:val="0"/>
          <w:numId w:val="4"/>
        </w:numPr>
        <w:shd w:val="clear"/>
        <w:kinsoku/>
        <w:wordWrap/>
        <w:overflowPunct/>
        <w:topLinePunct w:val="0"/>
        <w:autoSpaceDE/>
        <w:autoSpaceDN/>
        <w:bidi w:val="0"/>
        <w:adjustRightInd/>
        <w:snapToGrid/>
        <w:spacing w:line="580" w:lineRule="exact"/>
        <w:ind w:firstLine="643" w:firstLineChars="200"/>
        <w:textAlignment w:val="auto"/>
        <w:rPr>
          <w:rFonts w:hint="eastAsia"/>
          <w:color w:val="auto"/>
          <w:highlight w:val="none"/>
        </w:rPr>
      </w:pPr>
      <w:bookmarkStart w:id="59" w:name="_Toc15377221"/>
      <w:bookmarkStart w:id="60" w:name="_Toc15396612"/>
      <w:bookmarkStart w:id="61" w:name="_Toc17770"/>
      <w:r>
        <w:rPr>
          <w:rFonts w:hint="eastAsia"/>
          <w:color w:val="auto"/>
          <w:highlight w:val="none"/>
        </w:rPr>
        <w:t>其他重要事项的情况说明</w:t>
      </w:r>
      <w:bookmarkEnd w:id="59"/>
      <w:bookmarkEnd w:id="60"/>
      <w:bookmarkEnd w:id="61"/>
    </w:p>
    <w:p>
      <w:pPr>
        <w:pageBreakBefore w:val="0"/>
        <w:widowControl w:val="0"/>
        <w:shd w:val="clear"/>
        <w:kinsoku/>
        <w:wordWrap/>
        <w:overflowPunct/>
        <w:topLinePunct w:val="0"/>
        <w:bidi w:val="0"/>
        <w:snapToGrid/>
        <w:spacing w:line="580" w:lineRule="exact"/>
        <w:ind w:firstLine="643" w:firstLineChars="200"/>
        <w:textAlignment w:val="auto"/>
        <w:outlineLvl w:val="2"/>
        <w:rPr>
          <w:rFonts w:ascii="仿宋" w:hAnsi="仿宋" w:eastAsia="仿宋"/>
          <w:color w:val="auto"/>
          <w:sz w:val="32"/>
          <w:szCs w:val="32"/>
          <w:highlight w:val="none"/>
        </w:rPr>
      </w:pPr>
      <w:bookmarkStart w:id="62" w:name="_Toc15377222"/>
      <w:r>
        <w:rPr>
          <w:rFonts w:hint="eastAsia" w:ascii="仿宋" w:hAnsi="仿宋" w:eastAsia="仿宋"/>
          <w:b/>
          <w:color w:val="auto"/>
          <w:sz w:val="32"/>
          <w:szCs w:val="32"/>
          <w:highlight w:val="none"/>
        </w:rPr>
        <w:t>（一）机关运行经费支出情况</w:t>
      </w:r>
      <w:bookmarkEnd w:id="62"/>
    </w:p>
    <w:p>
      <w:pPr>
        <w:pageBreakBefore w:val="0"/>
        <w:widowControl w:val="0"/>
        <w:shd w:val="clear"/>
        <w:kinsoku/>
        <w:wordWrap/>
        <w:overflowPunct/>
        <w:topLinePunct w:val="0"/>
        <w:bidi w:val="0"/>
        <w:snapToGrid/>
        <w:spacing w:line="58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2022年，市防震减灾服务中心机关运行经费支出35.86万元，比2021年增加6.33万元，增加21.44%。主要原因是办公费、邮电费、物业管理费、会议费、工会经费等有所增加，导致运行经费增加。</w:t>
      </w:r>
    </w:p>
    <w:p>
      <w:pPr>
        <w:pageBreakBefore w:val="0"/>
        <w:widowControl w:val="0"/>
        <w:shd w:val="clear"/>
        <w:kinsoku/>
        <w:wordWrap/>
        <w:overflowPunct/>
        <w:topLinePunct w:val="0"/>
        <w:autoSpaceDE w:val="0"/>
        <w:autoSpaceDN w:val="0"/>
        <w:bidi w:val="0"/>
        <w:adjustRightInd w:val="0"/>
        <w:snapToGrid/>
        <w:spacing w:line="580" w:lineRule="exact"/>
        <w:ind w:firstLine="643" w:firstLineChars="200"/>
        <w:jc w:val="left"/>
        <w:textAlignment w:val="auto"/>
        <w:outlineLvl w:val="2"/>
        <w:rPr>
          <w:rFonts w:ascii="仿宋" w:hAnsi="仿宋" w:eastAsia="仿宋"/>
          <w:b/>
          <w:color w:val="auto"/>
          <w:sz w:val="32"/>
          <w:szCs w:val="32"/>
          <w:highlight w:val="none"/>
        </w:rPr>
      </w:pPr>
      <w:bookmarkStart w:id="63" w:name="_Toc15377223"/>
      <w:r>
        <w:rPr>
          <w:rFonts w:hint="eastAsia" w:ascii="仿宋" w:hAnsi="仿宋" w:eastAsia="仿宋"/>
          <w:b/>
          <w:color w:val="auto"/>
          <w:sz w:val="32"/>
          <w:szCs w:val="32"/>
          <w:highlight w:val="none"/>
        </w:rPr>
        <w:t>（二）政府采购支出情况</w:t>
      </w:r>
      <w:bookmarkEnd w:id="63"/>
    </w:p>
    <w:p>
      <w:pPr>
        <w:pageBreakBefore w:val="0"/>
        <w:widowControl w:val="0"/>
        <w:shd w:val="clear"/>
        <w:kinsoku/>
        <w:wordWrap/>
        <w:overflowPunct/>
        <w:topLinePunct w:val="0"/>
        <w:bidi w:val="0"/>
        <w:snapToGrid/>
        <w:spacing w:line="58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2022年，市防震减灾服务中心政府采购支出总额0万元。</w:t>
      </w:r>
    </w:p>
    <w:p>
      <w:pPr>
        <w:pageBreakBefore w:val="0"/>
        <w:widowControl w:val="0"/>
        <w:shd w:val="clear"/>
        <w:kinsoku/>
        <w:wordWrap/>
        <w:overflowPunct/>
        <w:topLinePunct w:val="0"/>
        <w:autoSpaceDE w:val="0"/>
        <w:autoSpaceDN w:val="0"/>
        <w:bidi w:val="0"/>
        <w:adjustRightInd w:val="0"/>
        <w:snapToGrid/>
        <w:spacing w:line="580" w:lineRule="exact"/>
        <w:ind w:firstLine="643" w:firstLineChars="200"/>
        <w:jc w:val="left"/>
        <w:textAlignment w:val="auto"/>
        <w:outlineLvl w:val="2"/>
        <w:rPr>
          <w:rFonts w:ascii="仿宋" w:hAnsi="仿宋" w:eastAsia="仿宋"/>
          <w:b/>
          <w:color w:val="auto"/>
          <w:sz w:val="32"/>
          <w:szCs w:val="32"/>
          <w:highlight w:val="none"/>
        </w:rPr>
      </w:pPr>
      <w:bookmarkStart w:id="64" w:name="_Toc15377224"/>
      <w:r>
        <w:rPr>
          <w:rFonts w:hint="eastAsia" w:ascii="仿宋" w:hAnsi="仿宋" w:eastAsia="仿宋"/>
          <w:b/>
          <w:color w:val="auto"/>
          <w:sz w:val="32"/>
          <w:szCs w:val="32"/>
          <w:highlight w:val="none"/>
        </w:rPr>
        <w:t>（三）国有资产占有使用情况</w:t>
      </w:r>
      <w:bookmarkEnd w:id="64"/>
    </w:p>
    <w:p>
      <w:pPr>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olor w:val="auto"/>
          <w:sz w:val="32"/>
          <w:szCs w:val="32"/>
          <w:highlight w:val="none"/>
        </w:rPr>
      </w:pPr>
      <w:r>
        <w:rPr>
          <w:rFonts w:hint="eastAsia" w:ascii="仿宋" w:hAnsi="仿宋" w:eastAsia="仿宋"/>
          <w:color w:val="auto"/>
          <w:sz w:val="32"/>
          <w:szCs w:val="32"/>
          <w:highlight w:val="none"/>
        </w:rPr>
        <w:t>截至</w:t>
      </w:r>
      <w:r>
        <w:rPr>
          <w:rFonts w:ascii="仿宋" w:hAnsi="仿宋" w:eastAsia="仿宋"/>
          <w:color w:val="auto"/>
          <w:sz w:val="32"/>
          <w:szCs w:val="32"/>
          <w:highlight w:val="none"/>
        </w:rPr>
        <w:t>202</w:t>
      </w:r>
      <w:r>
        <w:rPr>
          <w:rFonts w:hint="eastAsia" w:ascii="仿宋" w:hAnsi="仿宋" w:eastAsia="仿宋"/>
          <w:color w:val="auto"/>
          <w:sz w:val="32"/>
          <w:szCs w:val="32"/>
          <w:highlight w:val="none"/>
        </w:rPr>
        <w:t>2年</w:t>
      </w:r>
      <w:r>
        <w:rPr>
          <w:rFonts w:ascii="仿宋" w:hAnsi="仿宋" w:eastAsia="仿宋"/>
          <w:color w:val="auto"/>
          <w:sz w:val="32"/>
          <w:szCs w:val="32"/>
          <w:highlight w:val="none"/>
        </w:rPr>
        <w:t>12</w:t>
      </w:r>
      <w:r>
        <w:rPr>
          <w:rFonts w:hint="eastAsia" w:ascii="仿宋" w:hAnsi="仿宋" w:eastAsia="仿宋"/>
          <w:color w:val="auto"/>
          <w:sz w:val="32"/>
          <w:szCs w:val="32"/>
          <w:highlight w:val="none"/>
        </w:rPr>
        <w:t>月</w:t>
      </w:r>
      <w:r>
        <w:rPr>
          <w:rFonts w:ascii="仿宋" w:hAnsi="仿宋" w:eastAsia="仿宋"/>
          <w:color w:val="auto"/>
          <w:sz w:val="32"/>
          <w:szCs w:val="32"/>
          <w:highlight w:val="none"/>
        </w:rPr>
        <w:t>31</w:t>
      </w:r>
      <w:r>
        <w:rPr>
          <w:rFonts w:hint="eastAsia" w:ascii="仿宋" w:hAnsi="仿宋" w:eastAsia="仿宋"/>
          <w:color w:val="auto"/>
          <w:sz w:val="32"/>
          <w:szCs w:val="32"/>
          <w:highlight w:val="none"/>
        </w:rPr>
        <w:t>日，市防震减灾服务中心共有车辆1辆，其中：</w:t>
      </w:r>
      <w:r>
        <w:rPr>
          <w:rFonts w:hint="eastAsia" w:ascii="方正仿宋_GBK" w:hAnsi="仿宋" w:eastAsia="方正仿宋_GBK" w:cs="仿宋"/>
          <w:color w:val="auto"/>
          <w:sz w:val="32"/>
          <w:szCs w:val="32"/>
          <w:highlight w:val="none"/>
        </w:rPr>
        <w:t>特种专业技术用车1</w:t>
      </w:r>
      <w:r>
        <w:rPr>
          <w:rFonts w:hint="eastAsia" w:ascii="仿宋" w:hAnsi="仿宋" w:eastAsia="仿宋"/>
          <w:color w:val="auto"/>
          <w:sz w:val="32"/>
          <w:szCs w:val="32"/>
          <w:highlight w:val="none"/>
        </w:rPr>
        <w:t>辆，</w:t>
      </w:r>
      <w:r>
        <w:rPr>
          <w:rFonts w:hint="eastAsia" w:ascii="仿宋_GB2312" w:eastAsia="仿宋_GB2312"/>
          <w:color w:val="auto"/>
          <w:sz w:val="32"/>
          <w:szCs w:val="32"/>
          <w:highlight w:val="none"/>
        </w:rPr>
        <w:t>主要是用于</w:t>
      </w:r>
      <w:r>
        <w:rPr>
          <w:rFonts w:hint="eastAsia" w:ascii="方正仿宋_GBK" w:eastAsia="方正仿宋_GBK"/>
          <w:color w:val="auto"/>
          <w:sz w:val="32"/>
          <w:szCs w:val="32"/>
          <w:highlight w:val="none"/>
        </w:rPr>
        <w:t>地震流动监测、地震宏观异常核实、地震科普宣传、地震现场勘查等。</w:t>
      </w:r>
      <w:r>
        <w:rPr>
          <w:rFonts w:hint="eastAsia" w:ascii="仿宋" w:hAnsi="仿宋" w:eastAsia="仿宋"/>
          <w:color w:val="auto"/>
          <w:sz w:val="32"/>
          <w:szCs w:val="32"/>
          <w:highlight w:val="none"/>
        </w:rPr>
        <w:t>单价</w:t>
      </w:r>
      <w:r>
        <w:rPr>
          <w:rFonts w:ascii="仿宋" w:hAnsi="仿宋" w:eastAsia="仿宋"/>
          <w:color w:val="auto"/>
          <w:sz w:val="32"/>
          <w:szCs w:val="32"/>
          <w:highlight w:val="none"/>
        </w:rPr>
        <w:t>50</w:t>
      </w:r>
      <w:r>
        <w:rPr>
          <w:rFonts w:hint="eastAsia" w:ascii="仿宋" w:hAnsi="仿宋" w:eastAsia="仿宋"/>
          <w:color w:val="auto"/>
          <w:sz w:val="32"/>
          <w:szCs w:val="32"/>
          <w:highlight w:val="none"/>
        </w:rPr>
        <w:t>万元以上通用设备0台（套），单价</w:t>
      </w:r>
      <w:r>
        <w:rPr>
          <w:rFonts w:ascii="仿宋" w:hAnsi="仿宋" w:eastAsia="仿宋"/>
          <w:color w:val="auto"/>
          <w:sz w:val="32"/>
          <w:szCs w:val="32"/>
          <w:highlight w:val="none"/>
        </w:rPr>
        <w:t>100</w:t>
      </w:r>
      <w:r>
        <w:rPr>
          <w:rFonts w:hint="eastAsia" w:ascii="仿宋" w:hAnsi="仿宋" w:eastAsia="仿宋"/>
          <w:color w:val="auto"/>
          <w:sz w:val="32"/>
          <w:szCs w:val="32"/>
          <w:highlight w:val="none"/>
        </w:rPr>
        <w:t>万元以上专用设备0台（套）。</w:t>
      </w:r>
    </w:p>
    <w:p>
      <w:pPr>
        <w:pageBreakBefore w:val="0"/>
        <w:widowControl w:val="0"/>
        <w:shd w:val="clear"/>
        <w:kinsoku/>
        <w:wordWrap/>
        <w:overflowPunct/>
        <w:topLinePunct w:val="0"/>
        <w:autoSpaceDE w:val="0"/>
        <w:autoSpaceDN w:val="0"/>
        <w:bidi w:val="0"/>
        <w:adjustRightInd w:val="0"/>
        <w:snapToGrid/>
        <w:spacing w:line="580" w:lineRule="exact"/>
        <w:ind w:firstLine="643" w:firstLineChars="200"/>
        <w:jc w:val="left"/>
        <w:textAlignment w:val="auto"/>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pStyle w:val="7"/>
        <w:pageBreakBefore w:val="0"/>
        <w:widowControl w:val="0"/>
        <w:shd w:val="clea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年度预算编制阶段，组织对地震监测项目等</w:t>
      </w:r>
      <w:r>
        <w:rPr>
          <w:rFonts w:hint="eastAsia"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widowControl/>
        <w:shd w:val="clear"/>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pStyle w:val="4"/>
        <w:numPr>
          <w:ilvl w:val="0"/>
          <w:numId w:val="5"/>
        </w:numPr>
        <w:shd w:val="clear"/>
        <w:bidi w:val="0"/>
        <w:jc w:val="center"/>
        <w:rPr>
          <w:color w:val="auto"/>
          <w:highlight w:val="none"/>
        </w:rPr>
      </w:pPr>
      <w:bookmarkStart w:id="65" w:name="_Toc15377225"/>
      <w:bookmarkStart w:id="66" w:name="_Toc24317"/>
      <w:bookmarkStart w:id="67" w:name="_Toc15396613"/>
      <w:r>
        <w:rPr>
          <w:rFonts w:hint="eastAsia"/>
          <w:color w:val="auto"/>
          <w:highlight w:val="none"/>
        </w:rPr>
        <w:t>名词解释</w:t>
      </w:r>
      <w:bookmarkEnd w:id="65"/>
      <w:bookmarkEnd w:id="66"/>
      <w:bookmarkEnd w:id="67"/>
    </w:p>
    <w:p>
      <w:pPr>
        <w:shd w:val="clear"/>
        <w:spacing w:line="600" w:lineRule="exact"/>
        <w:jc w:val="left"/>
        <w:rPr>
          <w:rFonts w:ascii="宋体"/>
          <w:b/>
          <w:color w:val="auto"/>
          <w:sz w:val="44"/>
          <w:szCs w:val="44"/>
          <w:highlight w:val="none"/>
        </w:rPr>
      </w:pPr>
    </w:p>
    <w:p>
      <w:pPr>
        <w:pStyle w:val="28"/>
        <w:numPr>
          <w:ilvl w:val="0"/>
          <w:numId w:val="6"/>
        </w:numPr>
        <w:shd w:val="clear"/>
        <w:spacing w:line="560" w:lineRule="exact"/>
        <w:ind w:left="0" w:leftChars="0" w:firstLine="400" w:firstLineChars="0"/>
        <w:rPr>
          <w:rFonts w:ascii="仿宋_GB2312" w:eastAsia="仿宋_GB2312"/>
          <w:color w:val="auto"/>
          <w:sz w:val="32"/>
          <w:szCs w:val="32"/>
          <w:highlight w:val="none"/>
        </w:rPr>
      </w:pPr>
      <w:bookmarkStart w:id="68" w:name="_Toc15377226"/>
      <w:r>
        <w:rPr>
          <w:rFonts w:hint="eastAsia" w:ascii="仿宋_GB2312" w:eastAsia="仿宋_GB2312"/>
          <w:color w:val="auto"/>
          <w:sz w:val="32"/>
          <w:szCs w:val="32"/>
          <w:highlight w:val="none"/>
        </w:rPr>
        <w:t>财政拨款收入：指单位从同级财政部门取得的财政预算资金。</w:t>
      </w:r>
    </w:p>
    <w:p>
      <w:pPr>
        <w:pStyle w:val="28"/>
        <w:numPr>
          <w:ilvl w:val="0"/>
          <w:numId w:val="6"/>
        </w:numPr>
        <w:shd w:val="clea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其他收入：指单位取得的除上述收入以外的银行利息收入。</w:t>
      </w:r>
      <w:r>
        <w:rPr>
          <w:rFonts w:ascii="仿宋_GB2312" w:eastAsia="仿宋_GB2312"/>
          <w:color w:val="auto"/>
          <w:sz w:val="32"/>
          <w:szCs w:val="32"/>
          <w:highlight w:val="none"/>
        </w:rPr>
        <w:t xml:space="preserve"> </w:t>
      </w:r>
    </w:p>
    <w:p>
      <w:pPr>
        <w:pStyle w:val="28"/>
        <w:numPr>
          <w:ilvl w:val="0"/>
          <w:numId w:val="6"/>
        </w:numPr>
        <w:shd w:val="clea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8"/>
        <w:numPr>
          <w:ilvl w:val="0"/>
          <w:numId w:val="6"/>
        </w:numPr>
        <w:shd w:val="clea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年末结转和结余：指单位按有关规定结转到下年或以后年度继续使用的资金。</w:t>
      </w:r>
    </w:p>
    <w:p>
      <w:pPr>
        <w:pStyle w:val="28"/>
        <w:numPr>
          <w:ilvl w:val="0"/>
          <w:numId w:val="6"/>
        </w:numPr>
        <w:shd w:val="clea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社会保障和就业支出（类）行政事业单位养老支出（款）事业单位离退休（项）：反映事业单位开支的离退休经费。</w:t>
      </w:r>
    </w:p>
    <w:p>
      <w:pPr>
        <w:numPr>
          <w:ilvl w:val="0"/>
          <w:numId w:val="6"/>
        </w:numPr>
        <w:shd w:val="clear"/>
        <w:spacing w:line="560" w:lineRule="exact"/>
        <w:ind w:left="0" w:leftChars="0" w:firstLine="400" w:firstLineChars="0"/>
        <w:rPr>
          <w:rFonts w:ascii="方正仿宋_GBK" w:eastAsia="方正仿宋_GBK"/>
          <w:color w:val="auto"/>
          <w:sz w:val="32"/>
          <w:szCs w:val="32"/>
          <w:highlight w:val="none"/>
        </w:rPr>
      </w:pPr>
      <w:r>
        <w:rPr>
          <w:rFonts w:hint="eastAsia" w:ascii="仿宋_GB2312" w:eastAsia="仿宋_GB2312"/>
          <w:color w:val="auto"/>
          <w:sz w:val="32"/>
          <w:szCs w:val="32"/>
          <w:highlight w:val="none"/>
        </w:rPr>
        <w:t>社会保障和就业支出（类）行政事业单位养老支出（款）机关事业单位基本养老保险缴费支出（项）：</w:t>
      </w:r>
      <w:r>
        <w:rPr>
          <w:rFonts w:hint="eastAsia" w:ascii="方正仿宋_GBK" w:eastAsia="方正仿宋_GBK"/>
          <w:color w:val="auto"/>
          <w:sz w:val="32"/>
          <w:szCs w:val="32"/>
          <w:highlight w:val="none"/>
        </w:rPr>
        <w:t>指机关事业单位实施养老保险制度由单位缴纳的基本养老保险费支出。</w:t>
      </w:r>
    </w:p>
    <w:p>
      <w:pPr>
        <w:numPr>
          <w:ilvl w:val="0"/>
          <w:numId w:val="6"/>
        </w:numPr>
        <w:shd w:val="clear"/>
        <w:spacing w:line="560" w:lineRule="exact"/>
        <w:ind w:left="0" w:leftChars="0" w:firstLine="400" w:firstLineChars="0"/>
        <w:rPr>
          <w:rFonts w:ascii="方正仿宋_GBK" w:eastAsia="方正仿宋_GBK"/>
          <w:color w:val="auto"/>
          <w:sz w:val="32"/>
          <w:szCs w:val="32"/>
          <w:highlight w:val="none"/>
        </w:rPr>
      </w:pPr>
      <w:r>
        <w:rPr>
          <w:rFonts w:hint="eastAsia" w:ascii="仿宋_GB2312" w:eastAsia="仿宋_GB2312"/>
          <w:color w:val="auto"/>
          <w:sz w:val="32"/>
          <w:szCs w:val="32"/>
          <w:highlight w:val="none"/>
        </w:rPr>
        <w:t>社会保障和就业支出（类）其他社会保障和就业支出（款）其他社会保障和就业支出（项）：</w:t>
      </w:r>
      <w:r>
        <w:rPr>
          <w:rFonts w:hint="eastAsia" w:ascii="方正仿宋_GBK" w:eastAsia="方正仿宋_GBK"/>
          <w:color w:val="auto"/>
          <w:sz w:val="32"/>
          <w:szCs w:val="32"/>
          <w:highlight w:val="none"/>
        </w:rPr>
        <w:t>指除上述项目以外其他用于</w:t>
      </w:r>
      <w:r>
        <w:rPr>
          <w:rFonts w:hint="eastAsia" w:ascii="仿宋_GB2312" w:eastAsia="仿宋_GB2312"/>
          <w:color w:val="auto"/>
          <w:sz w:val="32"/>
          <w:szCs w:val="32"/>
          <w:highlight w:val="none"/>
        </w:rPr>
        <w:t>社会保障和就业方面的支出。</w:t>
      </w:r>
    </w:p>
    <w:p>
      <w:pPr>
        <w:numPr>
          <w:ilvl w:val="0"/>
          <w:numId w:val="6"/>
        </w:numPr>
        <w:shd w:val="clear"/>
        <w:spacing w:line="560" w:lineRule="exact"/>
        <w:ind w:left="0" w:leftChars="0" w:firstLine="400" w:firstLineChars="0"/>
        <w:rPr>
          <w:rFonts w:ascii="方正仿宋_GBK" w:eastAsia="方正仿宋_GBK"/>
          <w:color w:val="auto"/>
          <w:sz w:val="32"/>
          <w:szCs w:val="32"/>
          <w:highlight w:val="none"/>
        </w:rPr>
      </w:pPr>
      <w:r>
        <w:rPr>
          <w:rFonts w:hint="eastAsia" w:ascii="仿宋_GB2312" w:eastAsia="仿宋_GB2312"/>
          <w:color w:val="auto"/>
          <w:sz w:val="32"/>
          <w:szCs w:val="32"/>
          <w:highlight w:val="none"/>
        </w:rPr>
        <w:t>卫生健康支出</w:t>
      </w:r>
      <w:r>
        <w:rPr>
          <w:rFonts w:hint="eastAsia" w:ascii="方正仿宋_GBK" w:eastAsia="方正仿宋_GBK"/>
          <w:color w:val="auto"/>
          <w:sz w:val="32"/>
          <w:szCs w:val="32"/>
          <w:highlight w:val="none"/>
        </w:rPr>
        <w:t>（类）行政事业单位医疗（款）事业单位医疗（项）：指财政部门集中安排的事业单位基本医疗保险缴费经费，未参加医疗保险的事业单位的公费医疗经费，按国家规定享受离休人员待遇的医疗经费。</w:t>
      </w:r>
    </w:p>
    <w:p>
      <w:pPr>
        <w:numPr>
          <w:ilvl w:val="0"/>
          <w:numId w:val="6"/>
        </w:numPr>
        <w:shd w:val="clear"/>
        <w:spacing w:line="580" w:lineRule="exact"/>
        <w:ind w:left="0" w:leftChars="0" w:firstLine="400" w:firstLineChars="0"/>
        <w:rPr>
          <w:rFonts w:ascii="方正仿宋_GBK" w:eastAsia="方正仿宋_GBK"/>
          <w:color w:val="auto"/>
          <w:sz w:val="32"/>
          <w:szCs w:val="32"/>
          <w:highlight w:val="none"/>
        </w:rPr>
      </w:pPr>
      <w:r>
        <w:rPr>
          <w:rFonts w:hint="eastAsia" w:ascii="方正仿宋_GBK" w:eastAsia="方正仿宋_GBK"/>
          <w:color w:val="auto"/>
          <w:sz w:val="32"/>
          <w:szCs w:val="32"/>
          <w:highlight w:val="none"/>
        </w:rPr>
        <w:t xml:space="preserve">住房保障支出（类）住房改革支出（类）住房公积金（款）：指行政事业单位按人力资源和社会保障部、财政部规定的基本工资和津贴补贴以及规定比例为职工缴纳的住房公积金。 </w:t>
      </w:r>
    </w:p>
    <w:p>
      <w:pPr>
        <w:numPr>
          <w:ilvl w:val="0"/>
          <w:numId w:val="6"/>
        </w:numPr>
        <w:shd w:val="clear"/>
        <w:ind w:left="0" w:leftChars="0" w:firstLine="400" w:firstLineChars="0"/>
        <w:rPr>
          <w:rFonts w:hint="eastAsia" w:ascii="方正仿宋_GBK" w:eastAsia="方正仿宋_GBK"/>
          <w:color w:val="auto"/>
          <w:sz w:val="32"/>
          <w:szCs w:val="32"/>
          <w:highlight w:val="none"/>
        </w:rPr>
      </w:pPr>
      <w:r>
        <w:rPr>
          <w:rFonts w:hint="eastAsia" w:ascii="仿宋_GB2312" w:eastAsia="仿宋_GB2312"/>
          <w:color w:val="auto"/>
          <w:sz w:val="32"/>
          <w:szCs w:val="32"/>
          <w:highlight w:val="none"/>
        </w:rPr>
        <w:t>灾害防治及应急管理支出（类）地震事务（款）行政运行（项）：指</w:t>
      </w:r>
      <w:r>
        <w:rPr>
          <w:rFonts w:hint="eastAsia" w:ascii="方正仿宋_GBK" w:eastAsia="方正仿宋_GBK"/>
          <w:color w:val="auto"/>
          <w:sz w:val="32"/>
          <w:szCs w:val="32"/>
          <w:highlight w:val="none"/>
        </w:rPr>
        <w:t>本单位的基本支出。</w:t>
      </w:r>
    </w:p>
    <w:p>
      <w:pPr>
        <w:pStyle w:val="7"/>
        <w:numPr>
          <w:ilvl w:val="0"/>
          <w:numId w:val="6"/>
        </w:numPr>
        <w:shd w:val="clear"/>
        <w:ind w:left="0" w:leftChars="0" w:firstLine="400" w:firstLineChars="0"/>
        <w:rPr>
          <w:rFonts w:hint="eastAsia" w:ascii="方正仿宋_GBK" w:hAnsi="Times New Roman" w:eastAsia="方正仿宋_GBK" w:cs="Times New Roman"/>
          <w:color w:val="auto"/>
          <w:kern w:val="2"/>
          <w:sz w:val="32"/>
          <w:szCs w:val="32"/>
          <w:highlight w:val="none"/>
          <w:lang w:val="en-US" w:eastAsia="zh-CN" w:bidi="ar-SA"/>
        </w:rPr>
      </w:pPr>
      <w:r>
        <w:rPr>
          <w:rFonts w:hint="eastAsia" w:ascii="方正仿宋_GBK" w:hAnsi="Times New Roman" w:eastAsia="方正仿宋_GBK" w:cs="Times New Roman"/>
          <w:color w:val="auto"/>
          <w:kern w:val="2"/>
          <w:sz w:val="32"/>
          <w:szCs w:val="32"/>
          <w:highlight w:val="none"/>
          <w:lang w:val="en-US" w:eastAsia="zh-CN" w:bidi="ar-SA"/>
        </w:rPr>
        <w:t>灾害防治及应急管理支出（类）地震事务（款）一般管理事务（项）：反映行政单位（包括实行公务员管理的事业单位）的未单独设置项级科目的其他项目支出；</w:t>
      </w:r>
    </w:p>
    <w:p>
      <w:pPr>
        <w:numPr>
          <w:ilvl w:val="0"/>
          <w:numId w:val="6"/>
        </w:numPr>
        <w:shd w:val="clear"/>
        <w:spacing w:line="580" w:lineRule="exact"/>
        <w:ind w:left="0" w:leftChars="0" w:firstLine="400" w:firstLineChars="0"/>
        <w:rPr>
          <w:rFonts w:ascii="方正仿宋_GBK" w:eastAsia="方正仿宋_GBK"/>
          <w:color w:val="auto"/>
          <w:sz w:val="32"/>
          <w:szCs w:val="32"/>
          <w:highlight w:val="none"/>
        </w:rPr>
      </w:pPr>
      <w:r>
        <w:rPr>
          <w:rFonts w:hint="eastAsia" w:ascii="仿宋_GB2312" w:eastAsia="仿宋_GB2312"/>
          <w:color w:val="auto"/>
          <w:sz w:val="32"/>
          <w:szCs w:val="32"/>
          <w:highlight w:val="none"/>
        </w:rPr>
        <w:t>灾害防治及应急管理支出（类）地震事务（款）</w:t>
      </w:r>
      <w:r>
        <w:rPr>
          <w:rFonts w:hint="eastAsia" w:ascii="方正仿宋_GBK" w:eastAsia="方正仿宋_GBK"/>
          <w:color w:val="auto"/>
          <w:sz w:val="32"/>
          <w:szCs w:val="32"/>
          <w:highlight w:val="none"/>
        </w:rPr>
        <w:t>地震监测（项）：指地震监测台站、台网等设施建设与运行维护，观测设备的购置、维护和技术升级，地震观测工作等方面的支出。</w:t>
      </w:r>
    </w:p>
    <w:p>
      <w:pPr>
        <w:numPr>
          <w:ilvl w:val="0"/>
          <w:numId w:val="6"/>
        </w:numPr>
        <w:shd w:val="clear"/>
        <w:spacing w:line="580" w:lineRule="exact"/>
        <w:ind w:left="0" w:leftChars="0" w:firstLine="400" w:firstLineChars="0"/>
        <w:rPr>
          <w:rFonts w:ascii="方正仿宋_GBK" w:eastAsia="方正仿宋_GBK"/>
          <w:color w:val="auto"/>
          <w:sz w:val="32"/>
          <w:szCs w:val="32"/>
          <w:highlight w:val="none"/>
        </w:rPr>
      </w:pPr>
      <w:r>
        <w:rPr>
          <w:rFonts w:hint="eastAsia" w:ascii="仿宋_GB2312" w:eastAsia="仿宋_GB2312"/>
          <w:color w:val="auto"/>
          <w:sz w:val="32"/>
          <w:szCs w:val="32"/>
          <w:highlight w:val="none"/>
        </w:rPr>
        <w:t>灾害防治及应急管理支出（类）地震事务（款）</w:t>
      </w:r>
      <w:r>
        <w:rPr>
          <w:rFonts w:hint="eastAsia" w:ascii="方正仿宋_GBK" w:eastAsia="方正仿宋_GBK"/>
          <w:color w:val="auto"/>
          <w:sz w:val="32"/>
          <w:szCs w:val="32"/>
          <w:highlight w:val="none"/>
        </w:rPr>
        <w:t>其他地震事务支出（项）：指除上述项目以外其他用于地震事务方面的支出。</w:t>
      </w:r>
    </w:p>
    <w:p>
      <w:pPr>
        <w:numPr>
          <w:ilvl w:val="0"/>
          <w:numId w:val="6"/>
        </w:numPr>
        <w:shd w:val="clea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pPr>
        <w:numPr>
          <w:ilvl w:val="0"/>
          <w:numId w:val="6"/>
        </w:numPr>
        <w:shd w:val="clea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numPr>
          <w:ilvl w:val="0"/>
          <w:numId w:val="6"/>
        </w:numPr>
        <w:shd w:val="clea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numPr>
          <w:ilvl w:val="0"/>
          <w:numId w:val="6"/>
        </w:numPr>
        <w:shd w:val="clea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hd w:val="clear"/>
        <w:spacing w:line="600" w:lineRule="exact"/>
        <w:jc w:val="center"/>
        <w:outlineLvl w:val="0"/>
        <w:rPr>
          <w:rFonts w:hint="eastAsia" w:ascii="黑体" w:hAnsi="黑体" w:eastAsia="黑体" w:cs="黑体"/>
          <w:color w:val="auto"/>
          <w:sz w:val="32"/>
          <w:szCs w:val="32"/>
          <w:highlight w:val="none"/>
        </w:rPr>
      </w:pPr>
      <w:r>
        <w:rPr>
          <w:rFonts w:ascii="宋体"/>
          <w:b/>
          <w:color w:val="auto"/>
          <w:sz w:val="44"/>
          <w:szCs w:val="44"/>
          <w:highlight w:val="none"/>
        </w:rPr>
        <w:br w:type="page"/>
      </w:r>
      <w:bookmarkStart w:id="69" w:name="_Toc15396614"/>
      <w:bookmarkStart w:id="70" w:name="_Toc7518"/>
      <w:r>
        <w:rPr>
          <w:rStyle w:val="19"/>
          <w:rFonts w:hint="eastAsia"/>
          <w:color w:val="auto"/>
          <w:highlight w:val="none"/>
        </w:rPr>
        <w:t>第四部分 附件</w:t>
      </w:r>
      <w:bookmarkEnd w:id="69"/>
      <w:bookmarkEnd w:id="70"/>
      <w:bookmarkStart w:id="71" w:name="_Toc15396618"/>
    </w:p>
    <w:p>
      <w:pPr>
        <w:shd w:val="clear"/>
        <w:spacing w:line="600" w:lineRule="exact"/>
        <w:jc w:val="center"/>
        <w:outlineLvl w:val="1"/>
        <w:rPr>
          <w:rFonts w:hint="eastAsia" w:ascii="宋体" w:hAnsi="宋体" w:eastAsia="宋体" w:cs="宋体"/>
          <w:color w:val="auto"/>
          <w:kern w:val="0"/>
          <w:sz w:val="32"/>
          <w:szCs w:val="32"/>
          <w:highlight w:val="none"/>
          <w:lang w:val="en-US" w:eastAsia="zh-CN" w:bidi="ar-SA"/>
        </w:rPr>
      </w:pPr>
      <w:bookmarkStart w:id="72" w:name="_Toc16208"/>
      <w:bookmarkStart w:id="73" w:name="_Toc1816"/>
      <w:r>
        <w:rPr>
          <w:rFonts w:hint="eastAsia" w:ascii="宋体" w:hAnsi="宋体" w:eastAsia="宋体" w:cs="宋体"/>
          <w:color w:val="auto"/>
          <w:kern w:val="0"/>
          <w:sz w:val="32"/>
          <w:szCs w:val="32"/>
          <w:highlight w:val="none"/>
          <w:lang w:val="en-US" w:eastAsia="zh-CN" w:bidi="ar-SA"/>
        </w:rPr>
        <w:t>部门预算项目支出绩效自评表（2022年度）</w:t>
      </w:r>
      <w:bookmarkEnd w:id="72"/>
    </w:p>
    <w:p>
      <w:pPr>
        <w:pStyle w:val="7"/>
        <w:shd w:val="clear"/>
        <w:ind w:firstLine="640" w:firstLineChars="200"/>
        <w:rPr>
          <w:rFonts w:hint="eastAsia"/>
          <w:color w:val="auto"/>
          <w:highlight w:val="none"/>
        </w:rPr>
      </w:pPr>
      <w:r>
        <w:rPr>
          <w:rFonts w:hint="eastAsia" w:hAnsi="Calibri" w:cs="仿宋"/>
          <w:color w:val="auto"/>
          <w:kern w:val="0"/>
          <w:sz w:val="32"/>
          <w:szCs w:val="32"/>
          <w:highlight w:val="none"/>
          <w:lang w:val="en-US" w:eastAsia="zh-CN" w:bidi="ar-SA"/>
        </w:rPr>
        <w:t>见附件</w:t>
      </w:r>
    </w:p>
    <w:p>
      <w:pPr>
        <w:pStyle w:val="4"/>
        <w:shd w:val="clear"/>
        <w:bidi w:val="0"/>
        <w:jc w:val="center"/>
        <w:rPr>
          <w:rFonts w:hint="eastAsia"/>
          <w:color w:val="auto"/>
          <w:highlight w:val="none"/>
        </w:rPr>
      </w:pPr>
      <w:r>
        <w:rPr>
          <w:rFonts w:hint="eastAsia"/>
          <w:color w:val="auto"/>
          <w:highlight w:val="none"/>
        </w:rPr>
        <w:t>第五部分 附表</w:t>
      </w:r>
      <w:bookmarkEnd w:id="68"/>
      <w:bookmarkEnd w:id="71"/>
      <w:bookmarkEnd w:id="73"/>
      <w:bookmarkStart w:id="74" w:name="_Toc15396619"/>
    </w:p>
    <w:p>
      <w:pPr>
        <w:pStyle w:val="5"/>
        <w:shd w:val="clear"/>
        <w:rPr>
          <w:rFonts w:ascii="仿宋" w:hAnsi="仿宋" w:eastAsia="仿宋"/>
          <w:color w:val="auto"/>
          <w:highlight w:val="none"/>
        </w:rPr>
      </w:pPr>
      <w:bookmarkStart w:id="75" w:name="_Toc18629"/>
      <w:r>
        <w:rPr>
          <w:rFonts w:hint="eastAsia" w:ascii="仿宋" w:hAnsi="仿宋" w:eastAsia="仿宋"/>
          <w:b w:val="0"/>
          <w:color w:val="auto"/>
          <w:highlight w:val="none"/>
        </w:rPr>
        <w:t>一、收</w:t>
      </w:r>
      <w:r>
        <w:rPr>
          <w:rStyle w:val="20"/>
          <w:rFonts w:hint="eastAsia" w:ascii="仿宋" w:hAnsi="仿宋" w:eastAsia="仿宋"/>
          <w:b w:val="0"/>
          <w:bCs w:val="0"/>
          <w:color w:val="auto"/>
          <w:highlight w:val="none"/>
        </w:rPr>
        <w:t>入支出决算总表</w:t>
      </w:r>
      <w:bookmarkEnd w:id="74"/>
      <w:bookmarkEnd w:id="75"/>
    </w:p>
    <w:p>
      <w:pPr>
        <w:pStyle w:val="5"/>
        <w:shd w:val="clear"/>
        <w:rPr>
          <w:rFonts w:ascii="仿宋" w:hAnsi="仿宋" w:eastAsia="仿宋"/>
          <w:color w:val="auto"/>
          <w:highlight w:val="none"/>
        </w:rPr>
      </w:pPr>
      <w:bookmarkStart w:id="76" w:name="_Toc15396620"/>
      <w:bookmarkStart w:id="77" w:name="_Toc32480"/>
      <w:r>
        <w:rPr>
          <w:rFonts w:hint="eastAsia" w:ascii="仿宋" w:hAnsi="仿宋" w:eastAsia="仿宋"/>
          <w:b w:val="0"/>
          <w:color w:val="auto"/>
          <w:highlight w:val="none"/>
        </w:rPr>
        <w:t>二、收</w:t>
      </w:r>
      <w:r>
        <w:rPr>
          <w:rStyle w:val="20"/>
          <w:rFonts w:hint="eastAsia" w:ascii="仿宋" w:hAnsi="仿宋" w:eastAsia="仿宋"/>
          <w:b w:val="0"/>
          <w:bCs w:val="0"/>
          <w:color w:val="auto"/>
          <w:highlight w:val="none"/>
        </w:rPr>
        <w:t>入决算表</w:t>
      </w:r>
      <w:bookmarkEnd w:id="76"/>
      <w:bookmarkEnd w:id="77"/>
    </w:p>
    <w:p>
      <w:pPr>
        <w:pStyle w:val="5"/>
        <w:shd w:val="clear"/>
        <w:rPr>
          <w:rFonts w:ascii="仿宋" w:hAnsi="仿宋" w:eastAsia="仿宋"/>
          <w:color w:val="auto"/>
          <w:highlight w:val="none"/>
        </w:rPr>
      </w:pPr>
      <w:bookmarkStart w:id="78" w:name="_Toc17436"/>
      <w:bookmarkStart w:id="79" w:name="_Toc15396621"/>
      <w:r>
        <w:rPr>
          <w:rStyle w:val="2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0"/>
          <w:rFonts w:hint="eastAsia" w:ascii="仿宋" w:hAnsi="仿宋" w:eastAsia="仿宋"/>
          <w:b w:val="0"/>
          <w:bCs w:val="0"/>
          <w:color w:val="auto"/>
          <w:highlight w:val="none"/>
        </w:rPr>
        <w:t>出决算表</w:t>
      </w:r>
      <w:bookmarkEnd w:id="78"/>
      <w:bookmarkEnd w:id="79"/>
    </w:p>
    <w:p>
      <w:pPr>
        <w:pStyle w:val="5"/>
        <w:shd w:val="clear"/>
        <w:rPr>
          <w:rFonts w:ascii="仿宋" w:hAnsi="仿宋" w:eastAsia="仿宋"/>
          <w:b w:val="0"/>
          <w:color w:val="auto"/>
          <w:highlight w:val="none"/>
        </w:rPr>
      </w:pPr>
      <w:bookmarkStart w:id="80" w:name="_Toc29429"/>
      <w:bookmarkStart w:id="81" w:name="_Toc15396622"/>
      <w:r>
        <w:rPr>
          <w:rStyle w:val="2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政拨款收入支出决算总表</w:t>
      </w:r>
      <w:bookmarkEnd w:id="80"/>
      <w:bookmarkEnd w:id="81"/>
    </w:p>
    <w:p>
      <w:pPr>
        <w:pStyle w:val="5"/>
        <w:shd w:val="clear"/>
        <w:rPr>
          <w:rStyle w:val="20"/>
          <w:rFonts w:ascii="仿宋" w:hAnsi="仿宋" w:eastAsia="仿宋"/>
          <w:b w:val="0"/>
          <w:bCs w:val="0"/>
          <w:color w:val="auto"/>
          <w:highlight w:val="none"/>
        </w:rPr>
      </w:pPr>
      <w:bookmarkStart w:id="82" w:name="_Toc15396623"/>
      <w:bookmarkStart w:id="83" w:name="_Toc2866"/>
      <w:r>
        <w:rPr>
          <w:rStyle w:val="2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政拨款支出决算明细表</w:t>
      </w:r>
      <w:bookmarkEnd w:id="82"/>
      <w:bookmarkEnd w:id="83"/>
      <w:bookmarkStart w:id="84" w:name="_Toc15396624"/>
    </w:p>
    <w:p>
      <w:pPr>
        <w:pStyle w:val="5"/>
        <w:shd w:val="clear"/>
        <w:rPr>
          <w:rFonts w:ascii="仿宋" w:hAnsi="仿宋" w:eastAsia="仿宋"/>
          <w:color w:val="auto"/>
          <w:highlight w:val="none"/>
        </w:rPr>
      </w:pPr>
      <w:bookmarkStart w:id="85" w:name="_Toc13010"/>
      <w:r>
        <w:rPr>
          <w:rStyle w:val="2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般公共预算财政拨款支出决算表</w:t>
      </w:r>
      <w:bookmarkEnd w:id="84"/>
      <w:bookmarkEnd w:id="85"/>
    </w:p>
    <w:p>
      <w:pPr>
        <w:pStyle w:val="5"/>
        <w:shd w:val="clear"/>
        <w:rPr>
          <w:rFonts w:ascii="仿宋" w:hAnsi="仿宋" w:eastAsia="仿宋"/>
          <w:color w:val="auto"/>
          <w:highlight w:val="none"/>
        </w:rPr>
      </w:pPr>
      <w:bookmarkStart w:id="86" w:name="_Toc15396625"/>
      <w:bookmarkStart w:id="87" w:name="_Toc3801"/>
      <w:r>
        <w:rPr>
          <w:rStyle w:val="2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般公共预算财政拨款支出决算明细表</w:t>
      </w:r>
      <w:bookmarkEnd w:id="86"/>
      <w:bookmarkEnd w:id="87"/>
    </w:p>
    <w:p>
      <w:pPr>
        <w:pStyle w:val="5"/>
        <w:shd w:val="clear"/>
        <w:rPr>
          <w:rFonts w:ascii="仿宋" w:hAnsi="仿宋" w:eastAsia="仿宋"/>
          <w:color w:val="auto"/>
          <w:highlight w:val="none"/>
        </w:rPr>
      </w:pPr>
      <w:bookmarkStart w:id="88" w:name="_Toc15396626"/>
      <w:bookmarkStart w:id="89" w:name="_Toc22078"/>
      <w:r>
        <w:rPr>
          <w:rStyle w:val="2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般公共预算财政拨款基本支出决算表</w:t>
      </w:r>
      <w:bookmarkEnd w:id="88"/>
      <w:bookmarkEnd w:id="89"/>
    </w:p>
    <w:p>
      <w:pPr>
        <w:pStyle w:val="5"/>
        <w:shd w:val="clear"/>
        <w:rPr>
          <w:rFonts w:ascii="仿宋" w:hAnsi="仿宋" w:eastAsia="仿宋"/>
          <w:color w:val="auto"/>
          <w:highlight w:val="none"/>
        </w:rPr>
      </w:pPr>
      <w:bookmarkStart w:id="90" w:name="_Toc12561"/>
      <w:bookmarkStart w:id="91" w:name="_Toc15396627"/>
      <w:r>
        <w:rPr>
          <w:rStyle w:val="2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般公共预算财政拨款项目支出决算表</w:t>
      </w:r>
      <w:bookmarkEnd w:id="90"/>
      <w:bookmarkEnd w:id="91"/>
    </w:p>
    <w:p>
      <w:pPr>
        <w:pStyle w:val="5"/>
        <w:shd w:val="clear"/>
        <w:rPr>
          <w:rFonts w:ascii="仿宋" w:hAnsi="仿宋" w:eastAsia="仿宋"/>
          <w:color w:val="auto"/>
          <w:highlight w:val="none"/>
        </w:rPr>
      </w:pPr>
      <w:bookmarkStart w:id="92" w:name="_Toc15396628"/>
      <w:bookmarkStart w:id="93" w:name="_Toc836"/>
      <w:r>
        <w:rPr>
          <w:rStyle w:val="20"/>
          <w:rFonts w:hint="eastAsia" w:ascii="仿宋" w:hAnsi="仿宋" w:eastAsia="仿宋"/>
          <w:b w:val="0"/>
          <w:bCs w:val="0"/>
          <w:color w:val="auto"/>
          <w:highlight w:val="none"/>
        </w:rPr>
        <w:t>十、</w:t>
      </w:r>
      <w:bookmarkEnd w:id="92"/>
      <w:r>
        <w:rPr>
          <w:rFonts w:hint="eastAsia" w:ascii="仿宋" w:hAnsi="仿宋" w:eastAsia="仿宋"/>
          <w:b w:val="0"/>
          <w:color w:val="auto"/>
          <w:highlight w:val="none"/>
        </w:rPr>
        <w:t>政</w:t>
      </w:r>
      <w:r>
        <w:rPr>
          <w:rStyle w:val="20"/>
          <w:rFonts w:hint="eastAsia" w:ascii="仿宋" w:hAnsi="仿宋" w:eastAsia="仿宋"/>
          <w:b w:val="0"/>
          <w:bCs w:val="0"/>
          <w:color w:val="auto"/>
          <w:highlight w:val="none"/>
        </w:rPr>
        <w:t>府性基金预算财政拨款收入支出决算表</w:t>
      </w:r>
      <w:bookmarkEnd w:id="93"/>
    </w:p>
    <w:p>
      <w:pPr>
        <w:pStyle w:val="5"/>
        <w:shd w:val="clear"/>
        <w:rPr>
          <w:rFonts w:ascii="仿宋" w:hAnsi="仿宋" w:eastAsia="仿宋"/>
          <w:color w:val="auto"/>
          <w:highlight w:val="none"/>
        </w:rPr>
      </w:pPr>
      <w:bookmarkStart w:id="94" w:name="_Toc15396629"/>
      <w:bookmarkStart w:id="95" w:name="_Toc17304"/>
      <w:r>
        <w:rPr>
          <w:rStyle w:val="20"/>
          <w:rFonts w:hint="eastAsia" w:ascii="仿宋" w:hAnsi="仿宋" w:eastAsia="仿宋"/>
          <w:b w:val="0"/>
          <w:bCs w:val="0"/>
          <w:color w:val="auto"/>
          <w:highlight w:val="none"/>
        </w:rPr>
        <w:t>十一、</w:t>
      </w:r>
      <w:bookmarkEnd w:id="94"/>
      <w:r>
        <w:rPr>
          <w:rFonts w:hint="eastAsia" w:ascii="仿宋" w:hAnsi="仿宋" w:eastAsia="仿宋"/>
          <w:b w:val="0"/>
          <w:color w:val="auto"/>
          <w:highlight w:val="none"/>
        </w:rPr>
        <w:t>国</w:t>
      </w:r>
      <w:r>
        <w:rPr>
          <w:rStyle w:val="20"/>
          <w:rFonts w:hint="eastAsia" w:ascii="仿宋" w:hAnsi="仿宋" w:eastAsia="仿宋"/>
          <w:b w:val="0"/>
          <w:bCs w:val="0"/>
          <w:color w:val="auto"/>
          <w:highlight w:val="none"/>
        </w:rPr>
        <w:t>有资本经营预算</w:t>
      </w:r>
      <w:r>
        <w:rPr>
          <w:rStyle w:val="20"/>
          <w:rFonts w:hint="eastAsia" w:ascii="仿宋" w:hAnsi="仿宋" w:eastAsia="仿宋"/>
          <w:b w:val="0"/>
          <w:bCs w:val="0"/>
          <w:color w:val="auto"/>
          <w:highlight w:val="none"/>
          <w:lang w:eastAsia="zh-CN"/>
        </w:rPr>
        <w:t>财政拨款收入</w:t>
      </w:r>
      <w:r>
        <w:rPr>
          <w:rStyle w:val="20"/>
          <w:rFonts w:hint="eastAsia" w:ascii="仿宋" w:hAnsi="仿宋" w:eastAsia="仿宋"/>
          <w:b w:val="0"/>
          <w:bCs w:val="0"/>
          <w:color w:val="auto"/>
          <w:highlight w:val="none"/>
        </w:rPr>
        <w:t>支出决算表</w:t>
      </w:r>
      <w:bookmarkEnd w:id="95"/>
    </w:p>
    <w:p>
      <w:pPr>
        <w:pStyle w:val="5"/>
        <w:shd w:val="clear"/>
        <w:rPr>
          <w:rFonts w:ascii="仿宋" w:hAnsi="仿宋" w:eastAsia="仿宋"/>
          <w:color w:val="auto"/>
          <w:highlight w:val="none"/>
        </w:rPr>
      </w:pPr>
      <w:bookmarkStart w:id="96" w:name="_Toc15396630"/>
      <w:bookmarkStart w:id="97" w:name="_Toc257"/>
      <w:r>
        <w:rPr>
          <w:rStyle w:val="20"/>
          <w:rFonts w:hint="eastAsia" w:ascii="仿宋" w:hAnsi="仿宋" w:eastAsia="仿宋"/>
          <w:b w:val="0"/>
          <w:bCs w:val="0"/>
          <w:color w:val="auto"/>
          <w:highlight w:val="none"/>
        </w:rPr>
        <w:t>十二、</w:t>
      </w:r>
      <w:bookmarkEnd w:id="96"/>
      <w:r>
        <w:rPr>
          <w:rStyle w:val="20"/>
          <w:rFonts w:hint="eastAsia" w:ascii="仿宋" w:hAnsi="仿宋" w:eastAsia="仿宋"/>
          <w:b w:val="0"/>
          <w:bCs w:val="0"/>
          <w:color w:val="auto"/>
          <w:highlight w:val="none"/>
          <w:lang w:eastAsia="zh-CN"/>
        </w:rPr>
        <w:t>国有资本经营预算财政拨款支出决算表</w:t>
      </w:r>
      <w:bookmarkEnd w:id="97"/>
    </w:p>
    <w:p>
      <w:pPr>
        <w:pStyle w:val="5"/>
        <w:shd w:val="clear"/>
        <w:rPr>
          <w:rFonts w:hint="eastAsia" w:eastAsia="仿宋"/>
          <w:color w:val="auto"/>
          <w:highlight w:val="none"/>
          <w:lang w:eastAsia="zh-CN"/>
        </w:rPr>
      </w:pPr>
      <w:bookmarkStart w:id="98" w:name="_Toc15396631"/>
      <w:bookmarkStart w:id="99" w:name="_Toc9228"/>
      <w:r>
        <w:rPr>
          <w:rStyle w:val="20"/>
          <w:rFonts w:hint="eastAsia" w:ascii="仿宋" w:hAnsi="仿宋" w:eastAsia="仿宋"/>
          <w:b w:val="0"/>
          <w:bCs w:val="0"/>
          <w:color w:val="auto"/>
          <w:highlight w:val="none"/>
        </w:rPr>
        <w:t>十三、</w:t>
      </w:r>
      <w:bookmarkEnd w:id="98"/>
      <w:r>
        <w:rPr>
          <w:rStyle w:val="20"/>
          <w:rFonts w:hint="eastAsia" w:ascii="仿宋" w:hAnsi="仿宋" w:eastAsia="仿宋"/>
          <w:b w:val="0"/>
          <w:bCs w:val="0"/>
          <w:color w:val="auto"/>
          <w:highlight w:val="none"/>
          <w:lang w:eastAsia="zh-CN"/>
        </w:rPr>
        <w:t>财政拨款“三公”经费支出决算表</w:t>
      </w:r>
      <w:bookmarkEnd w:id="9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085C14-B7AD-4D13-B049-1DAF4BB08A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FC01BB5-D182-4879-8961-615904249C6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5CF59497-AF6F-4EAA-B5F3-CB8AE3CD3CAC}"/>
  </w:font>
  <w:font w:name="仿宋">
    <w:panose1 w:val="02010609060101010101"/>
    <w:charset w:val="86"/>
    <w:family w:val="auto"/>
    <w:pitch w:val="default"/>
    <w:sig w:usb0="800002BF" w:usb1="38CF7CFA" w:usb2="00000016" w:usb3="00000000" w:csb0="00040001" w:csb1="00000000"/>
    <w:embedRegular r:id="rId4" w:fontKey="{2A418806-809F-470E-A607-C1BB78046FF7}"/>
  </w:font>
  <w:font w:name="方正小标宋简体">
    <w:panose1 w:val="03000509000000000000"/>
    <w:charset w:val="86"/>
    <w:family w:val="script"/>
    <w:pitch w:val="default"/>
    <w:sig w:usb0="00000001" w:usb1="080E0000" w:usb2="00000000" w:usb3="00000000" w:csb0="00040000" w:csb1="00000000"/>
    <w:embedRegular r:id="rId5" w:fontKey="{E9ED05FD-5175-40E3-86BF-42C9233CFEBE}"/>
  </w:font>
  <w:font w:name="方正黑体_GBK">
    <w:panose1 w:val="03000509000000000000"/>
    <w:charset w:val="86"/>
    <w:family w:val="auto"/>
    <w:pitch w:val="default"/>
    <w:sig w:usb0="00000001" w:usb1="080E0000" w:usb2="00000000" w:usb3="00000000" w:csb0="00040000" w:csb1="00000000"/>
    <w:embedRegular r:id="rId6" w:fontKey="{54402F30-59E8-4995-9FD4-7F81904C4FD5}"/>
  </w:font>
  <w:font w:name="方正仿宋_GBK">
    <w:panose1 w:val="03000509000000000000"/>
    <w:charset w:val="86"/>
    <w:family w:val="script"/>
    <w:pitch w:val="default"/>
    <w:sig w:usb0="00000001" w:usb1="080E0000" w:usb2="00000000" w:usb3="00000000" w:csb0="00040000" w:csb1="00000000"/>
    <w:embedRegular r:id="rId7" w:fontKey="{E77DD02D-DAF1-4259-BECA-BB06043F5F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23814"/>
    <w:multiLevelType w:val="singleLevel"/>
    <w:tmpl w:val="A7B23814"/>
    <w:lvl w:ilvl="0" w:tentative="0">
      <w:start w:val="1"/>
      <w:numFmt w:val="decimal"/>
      <w:suff w:val="nothing"/>
      <w:lvlText w:val="%1．"/>
      <w:lvlJc w:val="left"/>
      <w:pPr>
        <w:ind w:left="0" w:firstLine="400"/>
      </w:pPr>
      <w:rPr>
        <w:rFonts w:hint="default" w:ascii="Times New Roman" w:hAnsi="Times New Roman" w:cs="Times New Roman"/>
        <w:b w:val="0"/>
        <w:bCs w:val="0"/>
        <w:sz w:val="32"/>
        <w:szCs w:val="32"/>
      </w:rPr>
    </w:lvl>
  </w:abstractNum>
  <w:abstractNum w:abstractNumId="1">
    <w:nsid w:val="C14B8BCC"/>
    <w:multiLevelType w:val="singleLevel"/>
    <w:tmpl w:val="C14B8BCC"/>
    <w:lvl w:ilvl="0" w:tentative="0">
      <w:start w:val="1"/>
      <w:numFmt w:val="decimal"/>
      <w:suff w:val="nothing"/>
      <w:lvlText w:val="%1．"/>
      <w:lvlJc w:val="left"/>
      <w:pPr>
        <w:ind w:left="0" w:firstLine="400"/>
      </w:pPr>
      <w:rPr>
        <w:rFonts w:hint="default" w:ascii="Times New Roman" w:hAnsi="Times New Roman" w:cs="Times New Roman"/>
        <w:b w:val="0"/>
        <w:bCs w:val="0"/>
        <w:sz w:val="32"/>
        <w:szCs w:val="32"/>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b w:val="0"/>
        <w:bCs w:val="0"/>
        <w:sz w:val="44"/>
        <w:szCs w:val="44"/>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818A09A"/>
    <w:multiLevelType w:val="singleLevel"/>
    <w:tmpl w:val="3818A09A"/>
    <w:lvl w:ilvl="0" w:tentative="0">
      <w:start w:val="1"/>
      <w:numFmt w:val="chineseCounting"/>
      <w:suff w:val="nothing"/>
      <w:lvlText w:val="%1、"/>
      <w:lvlJc w:val="left"/>
      <w:rPr>
        <w:rFonts w:hint="eastAsia"/>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YjU3NzI3M2EwYmVjMDUxYzQ3Y2Y2OWJkNzg2Yj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F200EC"/>
    <w:rsid w:val="04364711"/>
    <w:rsid w:val="053A62B5"/>
    <w:rsid w:val="0A2032A3"/>
    <w:rsid w:val="0B8A37D8"/>
    <w:rsid w:val="10C055FF"/>
    <w:rsid w:val="118107EC"/>
    <w:rsid w:val="11DD6519"/>
    <w:rsid w:val="16BB723D"/>
    <w:rsid w:val="18015F3F"/>
    <w:rsid w:val="1BE8440E"/>
    <w:rsid w:val="1CDE189B"/>
    <w:rsid w:val="1D155CEE"/>
    <w:rsid w:val="1DBE68A4"/>
    <w:rsid w:val="20F57F95"/>
    <w:rsid w:val="23724322"/>
    <w:rsid w:val="240371BF"/>
    <w:rsid w:val="25711CC6"/>
    <w:rsid w:val="25C741E6"/>
    <w:rsid w:val="27842671"/>
    <w:rsid w:val="29FD04D3"/>
    <w:rsid w:val="2ABE7A3E"/>
    <w:rsid w:val="2CA234A8"/>
    <w:rsid w:val="2EFA178C"/>
    <w:rsid w:val="30B46D73"/>
    <w:rsid w:val="319F7F4E"/>
    <w:rsid w:val="329D7636"/>
    <w:rsid w:val="35506C5B"/>
    <w:rsid w:val="383D272C"/>
    <w:rsid w:val="39AE70AB"/>
    <w:rsid w:val="3A9656D5"/>
    <w:rsid w:val="3B7A6B4B"/>
    <w:rsid w:val="3C0C0783"/>
    <w:rsid w:val="3EF06066"/>
    <w:rsid w:val="3F9F3A96"/>
    <w:rsid w:val="407A6D2B"/>
    <w:rsid w:val="41085755"/>
    <w:rsid w:val="43553942"/>
    <w:rsid w:val="47217593"/>
    <w:rsid w:val="48BF60AB"/>
    <w:rsid w:val="493C27E9"/>
    <w:rsid w:val="496F39ED"/>
    <w:rsid w:val="49FF41D3"/>
    <w:rsid w:val="4BE068DB"/>
    <w:rsid w:val="4BF6002B"/>
    <w:rsid w:val="4C1C3005"/>
    <w:rsid w:val="4ECE2238"/>
    <w:rsid w:val="4F274C66"/>
    <w:rsid w:val="51DB4B86"/>
    <w:rsid w:val="55333C3E"/>
    <w:rsid w:val="57D37ED2"/>
    <w:rsid w:val="5A32251F"/>
    <w:rsid w:val="64957EB7"/>
    <w:rsid w:val="64CA39A1"/>
    <w:rsid w:val="69630ADE"/>
    <w:rsid w:val="6C4A05C8"/>
    <w:rsid w:val="6D3B1A89"/>
    <w:rsid w:val="6F226E40"/>
    <w:rsid w:val="6FF26830"/>
    <w:rsid w:val="70B81356"/>
    <w:rsid w:val="71BF4EC2"/>
    <w:rsid w:val="72734D90"/>
    <w:rsid w:val="7412278C"/>
    <w:rsid w:val="7904082E"/>
    <w:rsid w:val="79E7B28D"/>
    <w:rsid w:val="7A7E5B2D"/>
    <w:rsid w:val="7E870996"/>
    <w:rsid w:val="7F9F20EE"/>
    <w:rsid w:val="7FAB5E82"/>
    <w:rsid w:val="7FFDE5AE"/>
    <w:rsid w:val="9E3A10E2"/>
    <w:rsid w:val="F2E1F9D4"/>
    <w:rsid w:val="F7880819"/>
    <w:rsid w:val="FE9550F2"/>
    <w:rsid w:val="FFEF80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spacing w:after="120"/>
      <w:ind w:left="420" w:leftChars="200"/>
    </w:pPr>
  </w:style>
  <w:style w:type="paragraph" w:styleId="7">
    <w:name w:val="Body Text"/>
    <w:basedOn w:val="1"/>
    <w:link w:val="27"/>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unhideWhenUsed/>
    <w:qFormat/>
    <w:uiPriority w:val="0"/>
    <w:rPr>
      <w:sz w:val="24"/>
      <w:szCs w:val="20"/>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
    <w:basedOn w:val="16"/>
    <w:link w:val="4"/>
    <w:qFormat/>
    <w:uiPriority w:val="9"/>
    <w:rPr>
      <w:rFonts w:ascii="Times New Roman" w:hAnsi="Times New Roman"/>
      <w:b/>
      <w:bCs/>
      <w:kern w:val="44"/>
      <w:sz w:val="44"/>
      <w:szCs w:val="44"/>
    </w:rPr>
  </w:style>
  <w:style w:type="character" w:customStyle="1" w:styleId="20">
    <w:name w:val="标题 2 Char"/>
    <w:basedOn w:val="16"/>
    <w:link w:val="5"/>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6"/>
    <w:qFormat/>
    <w:uiPriority w:val="9"/>
    <w:rPr>
      <w:rFonts w:ascii="Times New Roman" w:hAnsi="Times New Roman"/>
      <w:b/>
      <w:bCs/>
      <w:kern w:val="2"/>
      <w:sz w:val="32"/>
      <w:szCs w:val="32"/>
    </w:rPr>
  </w:style>
  <w:style w:type="character" w:customStyle="1" w:styleId="22">
    <w:name w:val="Header Char"/>
    <w:basedOn w:val="16"/>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6"/>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6"/>
    <w:semiHidden/>
    <w:qFormat/>
    <w:uiPriority w:val="99"/>
    <w:rPr>
      <w:rFonts w:ascii="Times New Roman" w:hAnsi="Times New Roman"/>
      <w:szCs w:val="24"/>
    </w:rPr>
  </w:style>
  <w:style w:type="character" w:customStyle="1" w:styleId="27">
    <w:name w:val="正文文本 Char"/>
    <w:link w:val="7"/>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paragraph" w:customStyle="1" w:styleId="3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D:\&#36130;&#25919;&#23616;\&#24180;&#24230;&#20915;&#31639;\2021&#20915;&#31639;\2021&#24180;&#20915;&#31639;&#32534;&#21046;&#35828;&#26126;&#36741;&#34920;&#65288;&#38450;&#38663;&#20943;&#28798;&#6528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021&#24180;&#20915;&#31639;&#32534;&#21046;&#35828;&#26126;&#36741;&#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2021&#24180;&#20915;&#31639;&#32534;&#21046;&#35828;&#26126;&#36741;&#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36130;&#25919;&#23616;\&#24180;&#24230;&#20915;&#31639;\2022&#20915;&#31639;\2022&#24180;&#20915;&#31639;&#32534;&#21046;&#35828;&#26126;&#36741;&#34920;&#65288;&#38450;&#38663;&#20943;&#28798;&#6528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36130;&#25919;&#23616;\&#24180;&#24230;&#20915;&#31639;\2022&#20915;&#31639;\2022&#24180;&#20915;&#31639;&#32534;&#21046;&#35828;&#26126;&#36741;&#34920;&#65288;&#38450;&#38663;&#20943;&#28798;&#6528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36130;&#25919;&#23616;\&#24180;&#24230;&#20915;&#31639;\2022&#20915;&#31639;\2022&#24180;&#20915;&#31639;&#32534;&#21046;&#35828;&#26126;&#36741;&#34920;&#65288;&#38450;&#38663;&#20943;&#28798;&#6528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36130;&#25919;&#23616;\&#24180;&#24230;&#20915;&#31639;\2022&#20915;&#31639;\2022&#24180;&#20915;&#31639;&#32534;&#21046;&#35828;&#26126;&#36741;&#34920;&#65288;&#38450;&#38663;&#20943;&#28798;&#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1</a:t>
            </a:r>
            <a:r>
              <a:rPr lang="zh-CN" altLang="en-US" sz="1000"/>
              <a:t>：</a:t>
            </a:r>
            <a:r>
              <a:rPr lang="zh-CN" altLang="zh-CN" sz="1100" b="0" i="0" u="none" strike="noStrike" baseline="0">
                <a:effectLst/>
              </a:rPr>
              <a:t>收、支决算总计变动情况图</a:t>
            </a:r>
            <a:endParaRPr lang="zh-CN" altLang="en-US" sz="11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防震!$B$13:$B$14</c:f>
              <c:strCache>
                <c:ptCount val="2"/>
                <c:pt idx="0">
                  <c:v>2021年收支总计</c:v>
                </c:pt>
                <c:pt idx="1">
                  <c:v>2022年收支总计</c:v>
                </c:pt>
              </c:strCache>
            </c:strRef>
          </c:cat>
          <c:val>
            <c:numRef>
              <c:f>防震!$C$13:$C$14</c:f>
              <c:numCache>
                <c:formatCode>General</c:formatCode>
                <c:ptCount val="2"/>
                <c:pt idx="0">
                  <c:v>321.32</c:v>
                </c:pt>
                <c:pt idx="1">
                  <c:v>342.59</c:v>
                </c:pt>
              </c:numCache>
            </c:numRef>
          </c:val>
        </c:ser>
        <c:dLbls>
          <c:showLegendKey val="0"/>
          <c:showVal val="0"/>
          <c:showCatName val="0"/>
          <c:showSerName val="0"/>
          <c:showPercent val="0"/>
          <c:showBubbleSize val="0"/>
        </c:dLbls>
        <c:gapWidth val="219"/>
        <c:overlap val="-27"/>
        <c:axId val="133831296"/>
        <c:axId val="77754368"/>
      </c:barChart>
      <c:catAx>
        <c:axId val="133831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754368"/>
        <c:crosses val="autoZero"/>
        <c:auto val="1"/>
        <c:lblAlgn val="ctr"/>
        <c:lblOffset val="100"/>
        <c:noMultiLvlLbl val="0"/>
      </c:catAx>
      <c:valAx>
        <c:axId val="777543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3831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r>
              <a:rPr lang="zh-CN" altLang="en-US" sz="1000"/>
              <a:t>图</a:t>
            </a:r>
            <a:r>
              <a:rPr lang="en-US" altLang="zh-CN" sz="1000"/>
              <a:t>2</a:t>
            </a:r>
            <a:r>
              <a:rPr lang="zh-CN" altLang="en-US" sz="1000"/>
              <a:t>：收入决算结构图</a:t>
            </a:r>
            <a:endParaRPr lang="zh-CN" altLang="en-US" sz="1000"/>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elete val="1"/>
          </c:dLbls>
          <c:cat>
            <c:strRef>
              <c:f>[2021年决算编制说明辅表.xlsx]防震!$B$1:$B$2</c:f>
              <c:strCache>
                <c:ptCount val="2"/>
                <c:pt idx="0">
                  <c:v>一般公共预算</c:v>
                </c:pt>
                <c:pt idx="1">
                  <c:v>其他收入</c:v>
                </c:pt>
              </c:strCache>
            </c:strRef>
          </c:cat>
          <c:val>
            <c:numRef>
              <c:f>[2021年决算编制说明辅表.xlsx]防震!$C$1:$C$2</c:f>
              <c:numCache>
                <c:formatCode>#,##0.00</c:formatCode>
                <c:ptCount val="2"/>
                <c:pt idx="0">
                  <c:v>301.58</c:v>
                </c:pt>
                <c:pt idx="1" c:formatCode="General">
                  <c:v>0.02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r>
              <a:rPr lang="zh-CN" altLang="en-US" sz="1000"/>
              <a:t>图</a:t>
            </a:r>
            <a:r>
              <a:rPr lang="en-US" altLang="zh-CN" sz="1000"/>
              <a:t>3</a:t>
            </a:r>
            <a:r>
              <a:rPr lang="zh-CN" altLang="en-US" sz="1000"/>
              <a:t>：支出决算结构图</a:t>
            </a:r>
            <a:endParaRPr lang="zh-CN" altLang="en-US" sz="1000"/>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elete val="1"/>
          </c:dLbls>
          <c:cat>
            <c:strRef>
              <c:f>[2021年决算编制说明辅表.xlsx]防震!$B$9:$B$10</c:f>
              <c:strCache>
                <c:ptCount val="2"/>
                <c:pt idx="0">
                  <c:v>基本支出</c:v>
                </c:pt>
                <c:pt idx="1">
                  <c:v>项目支出</c:v>
                </c:pt>
              </c:strCache>
            </c:strRef>
          </c:cat>
          <c:val>
            <c:numRef>
              <c:f>[2021年决算编制说明辅表.xlsx]防震!$C$9:$C$10</c:f>
              <c:numCache>
                <c:formatCode>#,##0.00</c:formatCode>
                <c:ptCount val="2"/>
                <c:pt idx="0">
                  <c:v>266.89</c:v>
                </c:pt>
                <c:pt idx="1">
                  <c:v>44.76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图</a:t>
            </a:r>
            <a:r>
              <a:rPr lang="en-US" altLang="zh-CN" sz="1400" b="0" i="0" u="none" strike="noStrike" baseline="0">
                <a:effectLst/>
              </a:rPr>
              <a:t>4</a:t>
            </a:r>
            <a:r>
              <a:rPr lang="zh-CN" altLang="zh-CN" sz="1400" b="0" i="0" u="none" strike="noStrike" baseline="0">
                <a:effectLst/>
              </a:rPr>
              <a:t>：财政拨款收、支决算总计变动情况</a:t>
            </a:r>
            <a:endParaRPr lang="zh-CN" altLang="en-US"/>
          </a:p>
        </c:rich>
      </c:tx>
      <c:layout>
        <c:manualLayout>
          <c:xMode val="edge"/>
          <c:yMode val="edge"/>
          <c:x val="0.166342078654103"/>
          <c:y val="0.0516836380135196"/>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防震!$B$35:$B$36</c:f>
              <c:strCache>
                <c:ptCount val="2"/>
                <c:pt idx="0">
                  <c:v>2021年财政拨款收支总计</c:v>
                </c:pt>
                <c:pt idx="1">
                  <c:v>2022年财政拨款收支总计</c:v>
                </c:pt>
              </c:strCache>
            </c:strRef>
          </c:cat>
          <c:val>
            <c:numRef>
              <c:f>防震!$C$35:$C$36</c:f>
              <c:numCache>
                <c:formatCode>#,##0.00</c:formatCode>
                <c:ptCount val="2"/>
                <c:pt idx="0">
                  <c:v>321.3</c:v>
                </c:pt>
                <c:pt idx="1">
                  <c:v>342.12</c:v>
                </c:pt>
              </c:numCache>
            </c:numRef>
          </c:val>
        </c:ser>
        <c:dLbls>
          <c:showLegendKey val="0"/>
          <c:showVal val="0"/>
          <c:showCatName val="0"/>
          <c:showSerName val="0"/>
          <c:showPercent val="0"/>
          <c:showBubbleSize val="0"/>
        </c:dLbls>
        <c:gapWidth val="219"/>
        <c:overlap val="-27"/>
        <c:axId val="119219328"/>
        <c:axId val="119220864"/>
      </c:barChart>
      <c:catAx>
        <c:axId val="11921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220864"/>
        <c:crosses val="autoZero"/>
        <c:auto val="1"/>
        <c:lblAlgn val="ctr"/>
        <c:lblOffset val="100"/>
        <c:noMultiLvlLbl val="0"/>
      </c:catAx>
      <c:valAx>
        <c:axId val="1192208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219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5</a:t>
            </a:r>
            <a:r>
              <a:rPr lang="zh-CN" altLang="en-US" sz="1000"/>
              <a:t>：一般公共预算财政拨款支出决算变动情况</a:t>
            </a:r>
            <a:endParaRPr lang="zh-CN" altLang="en-US" sz="10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防震!$B$17:$B$18</c:f>
              <c:strCache>
                <c:ptCount val="2"/>
                <c:pt idx="0">
                  <c:v>2021年一般公共预算支出</c:v>
                </c:pt>
                <c:pt idx="1">
                  <c:v>2022年一般公共预算支出</c:v>
                </c:pt>
              </c:strCache>
            </c:strRef>
          </c:cat>
          <c:val>
            <c:numRef>
              <c:f>防震!$C$17:$C$18</c:f>
              <c:numCache>
                <c:formatCode>#,##0.00</c:formatCode>
                <c:ptCount val="2"/>
                <c:pt idx="0">
                  <c:v>311.62</c:v>
                </c:pt>
                <c:pt idx="1">
                  <c:v>341.63</c:v>
                </c:pt>
              </c:numCache>
            </c:numRef>
          </c:val>
        </c:ser>
        <c:dLbls>
          <c:showLegendKey val="0"/>
          <c:showVal val="0"/>
          <c:showCatName val="0"/>
          <c:showSerName val="0"/>
          <c:showPercent val="0"/>
          <c:showBubbleSize val="0"/>
        </c:dLbls>
        <c:gapWidth val="219"/>
        <c:overlap val="-27"/>
        <c:axId val="91939968"/>
        <c:axId val="117545984"/>
      </c:barChart>
      <c:catAx>
        <c:axId val="9193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7545984"/>
        <c:crosses val="autoZero"/>
        <c:auto val="1"/>
        <c:lblAlgn val="ctr"/>
        <c:lblOffset val="100"/>
        <c:noMultiLvlLbl val="0"/>
      </c:catAx>
      <c:valAx>
        <c:axId val="1175459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93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6</a:t>
            </a:r>
            <a:r>
              <a:rPr lang="zh-CN" altLang="en-US" sz="1000"/>
              <a:t>：一般公共预算财政拨款支出决算结构</a:t>
            </a:r>
            <a:endParaRPr lang="zh-CN" altLang="en-US" sz="1000"/>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防震２!$A$2:$A$5</c:f>
              <c:strCache>
                <c:ptCount val="4"/>
                <c:pt idx="0">
                  <c:v>社会保障和就业支出</c:v>
                </c:pt>
                <c:pt idx="1">
                  <c:v>卫生健康支出</c:v>
                </c:pt>
                <c:pt idx="2">
                  <c:v>灾害防治及应急管理支出</c:v>
                </c:pt>
                <c:pt idx="3">
                  <c:v>住房保障支出</c:v>
                </c:pt>
              </c:strCache>
            </c:strRef>
          </c:cat>
          <c:val>
            <c:numRef>
              <c:f>防震２!$B$2:$B$5</c:f>
              <c:numCache>
                <c:formatCode>General</c:formatCode>
                <c:ptCount val="4"/>
                <c:pt idx="0">
                  <c:v>44.32</c:v>
                </c:pt>
                <c:pt idx="1">
                  <c:v>8.61</c:v>
                </c:pt>
                <c:pt idx="2" c:formatCode="#,##0.00">
                  <c:v>262.13</c:v>
                </c:pt>
                <c:pt idx="3">
                  <c:v>26.57</c:v>
                </c:pt>
              </c:numCache>
            </c:numRef>
          </c:val>
        </c:ser>
        <c:ser>
          <c:idx val="1"/>
          <c:order val="1"/>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防震２!$A$2:$A$5</c:f>
              <c:strCache>
                <c:ptCount val="4"/>
                <c:pt idx="0">
                  <c:v>社会保障和就业支出</c:v>
                </c:pt>
                <c:pt idx="1">
                  <c:v>卫生健康支出</c:v>
                </c:pt>
                <c:pt idx="2">
                  <c:v>灾害防治及应急管理支出</c:v>
                </c:pt>
                <c:pt idx="3">
                  <c:v>住房保障支出</c:v>
                </c:pt>
              </c:strCache>
            </c:strRef>
          </c:cat>
          <c:val>
            <c:numRef>
              <c:f>防震２!$C$2:$C$5</c:f>
              <c:numCache>
                <c:formatCode>0.00%</c:formatCode>
                <c:ptCount val="4"/>
                <c:pt idx="0">
                  <c:v>0.129730995521471</c:v>
                </c:pt>
                <c:pt idx="1">
                  <c:v>0.0252027046805023</c:v>
                </c:pt>
                <c:pt idx="2">
                  <c:v>0.767292099639961</c:v>
                </c:pt>
                <c:pt idx="3">
                  <c:v>0.0777742001580657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7</a:t>
            </a:r>
            <a:r>
              <a:rPr lang="zh-CN" altLang="en-US" sz="1000"/>
              <a:t>：“三公”经费财政拨款支出结构</a:t>
            </a:r>
            <a:endParaRPr lang="zh-CN" altLang="en-US" sz="1000"/>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防震２!$A$23:$A$25</c:f>
              <c:strCache>
                <c:ptCount val="3"/>
                <c:pt idx="0">
                  <c:v>因公出国（境）费</c:v>
                </c:pt>
                <c:pt idx="1">
                  <c:v>公务用车购置及运行维护费</c:v>
                </c:pt>
                <c:pt idx="2">
                  <c:v>公务接待费</c:v>
                </c:pt>
              </c:strCache>
            </c:strRef>
          </c:cat>
          <c:val>
            <c:numRef>
              <c:f>防震２!$B$23:$B$25</c:f>
              <c:numCache>
                <c:formatCode>General</c:formatCode>
                <c:ptCount val="3"/>
                <c:pt idx="0">
                  <c:v>0</c:v>
                </c:pt>
                <c:pt idx="1">
                  <c:v>1.61</c:v>
                </c:pt>
                <c:pt idx="2">
                  <c:v>0.35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0</TotalTime>
  <ScaleCrop>false</ScaleCrop>
  <LinksUpToDate>false</LinksUpToDate>
  <CharactersWithSpaces>8692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admin</cp:lastModifiedBy>
  <cp:lastPrinted>2023-07-31T10:35:00Z</cp:lastPrinted>
  <dcterms:modified xsi:type="dcterms:W3CDTF">2023-10-18T07:46:39Z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6B70361D626A4593B4A9C4A901EC4F63</vt:lpwstr>
  </property>
</Properties>
</file>