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eastAsia="zh-CN"/>
          <w14:textFill>
            <w14:solidFill>
              <w14:schemeClr w14:val="tx1"/>
            </w14:solidFill>
          </w14:textFill>
        </w:rPr>
      </w:pPr>
      <w:bookmarkStart w:id="25" w:name="_GoBack"/>
      <w: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eastAsia="zh-CN"/>
          <w14:textFill>
            <w14:solidFill>
              <w14:schemeClr w14:val="tx1"/>
            </w14:solidFill>
          </w14:textFill>
        </w:rPr>
        <w:t>广元市矿山安全培训中心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2024年预算编制说明</w:t>
      </w: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564136747"/>
        <w15:color w:val="DBDBDB"/>
        <w:docPartObj>
          <w:docPartGallery w:val="Table of Contents"/>
          <w:docPartUnique/>
        </w:docPartObj>
      </w:sdtPr>
      <w:sdtEndPr>
        <w:rPr>
          <w:rFonts w:hint="eastAsia" w:ascii="黑体" w:hAnsi="黑体" w:eastAsia="黑体" w:cs="黑体"/>
          <w:bCs w:val="0"/>
          <w:i w:val="0"/>
          <w:caps w:val="0"/>
          <w:color w:val="000000" w:themeColor="text1"/>
          <w:spacing w:val="0"/>
          <w:kern w:val="0"/>
          <w:sz w:val="21"/>
          <w:szCs w:val="32"/>
          <w:highlight w:val="none"/>
          <w:shd w:val="clear" w:color="auto" w:fill="FFFFFF"/>
          <w:lang w:val="en-US" w:eastAsia="zh-CN" w:bidi="ar"/>
          <w14:textFill>
            <w14:solidFill>
              <w14:schemeClr w14:val="tx1"/>
            </w14:solidFill>
          </w14:textFill>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8845"/>
            </w:tabs>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TOC \o "1-3" \h \u </w:instrText>
          </w: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p>
        <w:p>
          <w:pPr>
            <w:pStyle w:val="14"/>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_Toc169655008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lang w:val="en-US" w:eastAsia="zh-CN"/>
            </w:rPr>
            <w:t>一、基本职能及主要工作</w:t>
          </w:r>
          <w:r>
            <w:tab/>
          </w:r>
          <w:r>
            <w:fldChar w:fldCharType="begin"/>
          </w:r>
          <w:r>
            <w:instrText xml:space="preserve"> PAGEREF _Toc169655008 \h </w:instrText>
          </w:r>
          <w:r>
            <w:fldChar w:fldCharType="separate"/>
          </w:r>
          <w:r>
            <w:t>3</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_Toc1912965785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rPr>
            <w:t>（一）</w:t>
          </w:r>
          <w:r>
            <w:rPr>
              <w:rFonts w:hint="eastAsia" w:ascii="楷体_GB2312" w:hAnsi="楷体_GB2312" w:eastAsia="楷体_GB2312" w:cs="楷体_GB2312"/>
              <w:szCs w:val="32"/>
              <w:shd w:val="clear" w:color="auto" w:fill="FFFFFF"/>
            </w:rPr>
            <w:t>广元市矿山安全培训中心</w:t>
          </w:r>
          <w:r>
            <w:rPr>
              <w:rFonts w:hint="eastAsia" w:ascii="楷体_GB2312" w:hAnsi="楷体_GB2312" w:eastAsia="楷体_GB2312" w:cs="楷体_GB2312"/>
              <w:szCs w:val="32"/>
            </w:rPr>
            <w:t>职能简介</w:t>
          </w:r>
          <w:r>
            <w:tab/>
          </w:r>
          <w:r>
            <w:fldChar w:fldCharType="begin"/>
          </w:r>
          <w:r>
            <w:instrText xml:space="preserve"> PAGEREF _Toc1912965785 \h </w:instrText>
          </w:r>
          <w:r>
            <w:fldChar w:fldCharType="separate"/>
          </w:r>
          <w:r>
            <w:t>3</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_Toc62655226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highlight w:val="none"/>
            </w:rPr>
            <w:t>（二）</w:t>
          </w:r>
          <w:r>
            <w:rPr>
              <w:rFonts w:hint="eastAsia" w:ascii="楷体_GB2312" w:hAnsi="楷体_GB2312" w:eastAsia="楷体_GB2312" w:cs="楷体_GB2312"/>
              <w:szCs w:val="32"/>
              <w:highlight w:val="none"/>
              <w:shd w:val="clear" w:color="auto" w:fill="FFFFFF"/>
            </w:rPr>
            <w:t>广元市矿山安全培训中心</w:t>
          </w:r>
          <w:r>
            <w:rPr>
              <w:rFonts w:hint="eastAsia" w:ascii="楷体_GB2312" w:hAnsi="楷体_GB2312" w:eastAsia="楷体_GB2312" w:cs="楷体_GB2312"/>
              <w:szCs w:val="32"/>
              <w:highlight w:val="none"/>
              <w:lang w:val="en-US"/>
            </w:rPr>
            <w:t>2024</w:t>
          </w:r>
          <w:r>
            <w:rPr>
              <w:rFonts w:hint="eastAsia" w:ascii="楷体_GB2312" w:hAnsi="楷体_GB2312" w:eastAsia="楷体_GB2312" w:cs="楷体_GB2312"/>
              <w:szCs w:val="32"/>
              <w:highlight w:val="none"/>
            </w:rPr>
            <w:t>年重点工作</w:t>
          </w:r>
          <w:r>
            <w:tab/>
          </w:r>
          <w:r>
            <w:fldChar w:fldCharType="begin"/>
          </w:r>
          <w:r>
            <w:instrText xml:space="preserve"> PAGEREF _Toc62655226 \h </w:instrText>
          </w:r>
          <w:r>
            <w:fldChar w:fldCharType="separate"/>
          </w:r>
          <w:r>
            <w:t>5</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_Toc605629347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highlight w:val="none"/>
              <w:lang w:val="en-US" w:eastAsia="zh-CN"/>
            </w:rPr>
            <w:t>二、部门预算单位构成</w:t>
          </w:r>
          <w:r>
            <w:tab/>
          </w:r>
          <w:r>
            <w:fldChar w:fldCharType="begin"/>
          </w:r>
          <w:r>
            <w:instrText xml:space="preserve"> PAGEREF _Toc605629347 \h </w:instrText>
          </w:r>
          <w:r>
            <w:fldChar w:fldCharType="separate"/>
          </w:r>
          <w:r>
            <w:t>5</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_Toc720206399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highlight w:val="none"/>
              <w:lang w:val="en-US" w:eastAsia="zh-CN"/>
            </w:rPr>
            <w:t>三、收支预算情况说明</w:t>
          </w:r>
          <w:r>
            <w:tab/>
          </w:r>
          <w:r>
            <w:fldChar w:fldCharType="begin"/>
          </w:r>
          <w:r>
            <w:instrText xml:space="preserve"> PAGEREF _Toc720206399 \h </w:instrText>
          </w:r>
          <w:r>
            <w:fldChar w:fldCharType="separate"/>
          </w:r>
          <w:r>
            <w:t>5</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_Toc667820477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highlight w:val="none"/>
              <w:lang w:val="en-US" w:eastAsia="zh-CN"/>
            </w:rPr>
            <w:t>（一）收入预算情况</w:t>
          </w:r>
          <w:r>
            <w:tab/>
          </w:r>
          <w:r>
            <w:fldChar w:fldCharType="begin"/>
          </w:r>
          <w:r>
            <w:instrText xml:space="preserve"> PAGEREF _Toc667820477 \h </w:instrText>
          </w:r>
          <w:r>
            <w:fldChar w:fldCharType="separate"/>
          </w:r>
          <w:r>
            <w:t>6</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_Toc1790004760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highlight w:val="none"/>
              <w:lang w:val="en-US" w:eastAsia="zh-CN"/>
            </w:rPr>
            <w:t>（二）支出预算情况</w:t>
          </w:r>
          <w:r>
            <w:tab/>
          </w:r>
          <w:r>
            <w:fldChar w:fldCharType="begin"/>
          </w:r>
          <w:r>
            <w:instrText xml:space="preserve"> PAGEREF _Toc1790004760 \h </w:instrText>
          </w:r>
          <w:r>
            <w:fldChar w:fldCharType="separate"/>
          </w:r>
          <w:r>
            <w:t>6</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_Toc784838647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highlight w:val="none"/>
              <w:lang w:val="en-US" w:eastAsia="zh-CN"/>
            </w:rPr>
            <w:t>四、财政拨款收支预算情况说明</w:t>
          </w:r>
          <w:r>
            <w:tab/>
          </w:r>
          <w:r>
            <w:fldChar w:fldCharType="begin"/>
          </w:r>
          <w:r>
            <w:instrText xml:space="preserve"> PAGEREF _Toc784838647 \h </w:instrText>
          </w:r>
          <w:r>
            <w:fldChar w:fldCharType="separate"/>
          </w:r>
          <w:r>
            <w:t>6</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_Toc912468902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highlight w:val="none"/>
              <w:lang w:val="en-US" w:eastAsia="zh-CN"/>
            </w:rPr>
            <w:t>五、一般公共预算当年拨款情况说明</w:t>
          </w:r>
          <w:r>
            <w:tab/>
          </w:r>
          <w:r>
            <w:fldChar w:fldCharType="begin"/>
          </w:r>
          <w:r>
            <w:instrText xml:space="preserve"> PAGEREF _Toc912468902 \h </w:instrText>
          </w:r>
          <w:r>
            <w:fldChar w:fldCharType="separate"/>
          </w:r>
          <w:r>
            <w:t>6</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_Toc1042158926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highlight w:val="none"/>
              <w:lang w:val="en-US" w:eastAsia="zh-CN"/>
            </w:rPr>
            <w:t>（一）一般公共预算当年拨款规模变化情况</w:t>
          </w:r>
          <w:r>
            <w:tab/>
          </w:r>
          <w:r>
            <w:fldChar w:fldCharType="begin"/>
          </w:r>
          <w:r>
            <w:instrText xml:space="preserve"> PAGEREF _Toc1042158926 \h </w:instrText>
          </w:r>
          <w:r>
            <w:fldChar w:fldCharType="separate"/>
          </w:r>
          <w:r>
            <w:t>6</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_Toc2099616496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highlight w:val="none"/>
              <w:lang w:val="en-US" w:eastAsia="zh-CN"/>
            </w:rPr>
            <w:t>（二）一般公共预算当年拨款结构情况</w:t>
          </w:r>
          <w:r>
            <w:tab/>
          </w:r>
          <w:r>
            <w:fldChar w:fldCharType="begin"/>
          </w:r>
          <w:r>
            <w:instrText xml:space="preserve"> PAGEREF _Toc2099616496 \h </w:instrText>
          </w:r>
          <w:r>
            <w:fldChar w:fldCharType="separate"/>
          </w:r>
          <w:r>
            <w:t>7</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_Toc1754655010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highlight w:val="none"/>
              <w:lang w:val="en-US" w:eastAsia="zh-CN"/>
            </w:rPr>
            <w:t>（三）一般公共预算当年拨款具体使用情况</w:t>
          </w:r>
          <w:r>
            <w:tab/>
          </w:r>
          <w:r>
            <w:fldChar w:fldCharType="begin"/>
          </w:r>
          <w:r>
            <w:instrText xml:space="preserve"> PAGEREF _Toc1754655010 \h </w:instrText>
          </w:r>
          <w:r>
            <w:fldChar w:fldCharType="separate"/>
          </w:r>
          <w:r>
            <w:t>7</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_Toc1895964417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highlight w:val="none"/>
              <w:lang w:val="en-US" w:eastAsia="zh-CN"/>
            </w:rPr>
            <w:t>六、一般公共预算基本支出情况说明</w:t>
          </w:r>
          <w:r>
            <w:tab/>
          </w:r>
          <w:r>
            <w:fldChar w:fldCharType="begin"/>
          </w:r>
          <w:r>
            <w:instrText xml:space="preserve"> PAGEREF _Toc1895964417 \h </w:instrText>
          </w:r>
          <w:r>
            <w:fldChar w:fldCharType="separate"/>
          </w:r>
          <w:r>
            <w:t>8</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_Toc177364144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highlight w:val="none"/>
              <w:lang w:val="en-US" w:eastAsia="zh-CN"/>
            </w:rPr>
            <w:t>七、“三公”经费财政拨款预算安排情况说明</w:t>
          </w:r>
          <w:r>
            <w:tab/>
          </w:r>
          <w:r>
            <w:fldChar w:fldCharType="begin"/>
          </w:r>
          <w:r>
            <w:instrText xml:space="preserve"> PAGEREF _Toc177364144 \h </w:instrText>
          </w:r>
          <w:r>
            <w:fldChar w:fldCharType="separate"/>
          </w:r>
          <w:r>
            <w:t>8</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_Toc2100147142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highlight w:val="none"/>
              <w:lang w:val="en-US" w:eastAsia="zh-CN"/>
            </w:rPr>
            <w:t>（一）公务接待费</w:t>
          </w:r>
          <w:r>
            <w:tab/>
          </w:r>
          <w:r>
            <w:fldChar w:fldCharType="begin"/>
          </w:r>
          <w:r>
            <w:instrText xml:space="preserve"> PAGEREF _Toc2100147142 \h </w:instrText>
          </w:r>
          <w:r>
            <w:fldChar w:fldCharType="separate"/>
          </w:r>
          <w:r>
            <w:t>8</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_Toc2124550412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 xml:space="preserve">（二） </w:t>
          </w:r>
          <w:r>
            <w:rPr>
              <w:rFonts w:hint="eastAsia" w:ascii="楷体_GB2312" w:hAnsi="楷体_GB2312" w:eastAsia="楷体_GB2312" w:cs="楷体_GB2312"/>
              <w:szCs w:val="32"/>
              <w:highlight w:val="none"/>
              <w:lang w:val="en-US" w:eastAsia="zh-CN"/>
            </w:rPr>
            <w:t>公务用车购置及运行维护费</w:t>
          </w:r>
          <w:r>
            <w:tab/>
          </w:r>
          <w:r>
            <w:fldChar w:fldCharType="begin"/>
          </w:r>
          <w:r>
            <w:instrText xml:space="preserve"> PAGEREF _Toc2124550412 \h </w:instrText>
          </w:r>
          <w:r>
            <w:fldChar w:fldCharType="separate"/>
          </w:r>
          <w:r>
            <w:t>8</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_Toc952002171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仿宋_GB2312" w:hAnsi="仿宋_GB2312" w:eastAsia="仿宋_GB2312" w:cs="仿宋_GB2312"/>
              <w:szCs w:val="32"/>
              <w:highlight w:val="none"/>
              <w:lang w:val="en-US" w:eastAsia="zh-CN"/>
            </w:rPr>
            <w:t>（</w:t>
          </w:r>
          <w:r>
            <w:rPr>
              <w:rFonts w:hint="eastAsia" w:ascii="楷体_GB2312" w:hAnsi="楷体_GB2312" w:eastAsia="楷体_GB2312" w:cs="楷体_GB2312"/>
              <w:szCs w:val="32"/>
              <w:highlight w:val="none"/>
              <w:lang w:val="en-US" w:eastAsia="zh-CN"/>
            </w:rPr>
            <w:t>三）因公出国（境）经费</w:t>
          </w:r>
          <w:r>
            <w:tab/>
          </w:r>
          <w:r>
            <w:fldChar w:fldCharType="begin"/>
          </w:r>
          <w:r>
            <w:instrText xml:space="preserve"> PAGEREF _Toc952002171 \h </w:instrText>
          </w:r>
          <w:r>
            <w:fldChar w:fldCharType="separate"/>
          </w:r>
          <w:r>
            <w:t>9</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_Toc217777241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highlight w:val="none"/>
              <w:lang w:val="en-US" w:eastAsia="zh-CN"/>
            </w:rPr>
            <w:t>八、政府性基金预算支出情况说明</w:t>
          </w:r>
          <w:r>
            <w:tab/>
          </w:r>
          <w:r>
            <w:fldChar w:fldCharType="begin"/>
          </w:r>
          <w:r>
            <w:instrText xml:space="preserve"> PAGEREF _Toc217777241 \h </w:instrText>
          </w:r>
          <w:r>
            <w:fldChar w:fldCharType="separate"/>
          </w:r>
          <w:r>
            <w:t>9</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_Toc901062888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highlight w:val="none"/>
              <w:lang w:val="en-US" w:eastAsia="zh-CN"/>
            </w:rPr>
            <w:t>九、国有资本经营预算支出情况说明</w:t>
          </w:r>
          <w:r>
            <w:tab/>
          </w:r>
          <w:r>
            <w:fldChar w:fldCharType="begin"/>
          </w:r>
          <w:r>
            <w:instrText xml:space="preserve"> PAGEREF _Toc901062888 \h </w:instrText>
          </w:r>
          <w:r>
            <w:fldChar w:fldCharType="separate"/>
          </w:r>
          <w:r>
            <w:t>9</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_Toc764261530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highlight w:val="none"/>
              <w:lang w:val="en-US" w:eastAsia="zh-CN"/>
            </w:rPr>
            <w:t>十、其他重要事项的情况说明</w:t>
          </w:r>
          <w:r>
            <w:tab/>
          </w:r>
          <w:r>
            <w:fldChar w:fldCharType="begin"/>
          </w:r>
          <w:r>
            <w:instrText xml:space="preserve"> PAGEREF _Toc764261530 \h </w:instrText>
          </w:r>
          <w:r>
            <w:fldChar w:fldCharType="separate"/>
          </w:r>
          <w:r>
            <w:t>9</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_Toc412486042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highlight w:val="none"/>
              <w:lang w:val="en-US" w:eastAsia="zh-CN"/>
            </w:rPr>
            <w:t>（一）机关运行经费</w:t>
          </w:r>
          <w:r>
            <w:tab/>
          </w:r>
          <w:r>
            <w:fldChar w:fldCharType="begin"/>
          </w:r>
          <w:r>
            <w:instrText xml:space="preserve"> PAGEREF _Toc412486042 \h </w:instrText>
          </w:r>
          <w:r>
            <w:fldChar w:fldCharType="separate"/>
          </w:r>
          <w:r>
            <w:t>9</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_Toc1083334087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highlight w:val="none"/>
              <w:lang w:val="en-US" w:eastAsia="zh-CN"/>
            </w:rPr>
            <w:t>（二）政府采购情况</w:t>
          </w:r>
          <w:r>
            <w:tab/>
          </w:r>
          <w:r>
            <w:fldChar w:fldCharType="begin"/>
          </w:r>
          <w:r>
            <w:instrText xml:space="preserve"> PAGEREF _Toc1083334087 \h </w:instrText>
          </w:r>
          <w:r>
            <w:fldChar w:fldCharType="separate"/>
          </w:r>
          <w:r>
            <w:t>9</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_Toc1842904646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highlight w:val="none"/>
              <w:lang w:val="en-US" w:eastAsia="zh-CN"/>
            </w:rPr>
            <w:t>（三）国有资产占有使用情况</w:t>
          </w:r>
          <w:r>
            <w:tab/>
          </w:r>
          <w:r>
            <w:fldChar w:fldCharType="begin"/>
          </w:r>
          <w:r>
            <w:instrText xml:space="preserve"> PAGEREF _Toc1842904646 \h </w:instrText>
          </w:r>
          <w:r>
            <w:fldChar w:fldCharType="separate"/>
          </w:r>
          <w:r>
            <w:t>9</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5"/>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_Toc190770021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楷体_GB2312" w:hAnsi="楷体_GB2312" w:eastAsia="楷体_GB2312" w:cs="楷体_GB2312"/>
              <w:szCs w:val="32"/>
              <w:highlight w:val="none"/>
              <w:lang w:val="en-US" w:eastAsia="zh-CN"/>
            </w:rPr>
            <w:t>（四）绩效目标设置情况</w:t>
          </w:r>
          <w:r>
            <w:tab/>
          </w:r>
          <w:r>
            <w:fldChar w:fldCharType="begin"/>
          </w:r>
          <w:r>
            <w:instrText xml:space="preserve"> PAGEREF _Toc190770021 \h </w:instrText>
          </w:r>
          <w:r>
            <w:fldChar w:fldCharType="separate"/>
          </w:r>
          <w:r>
            <w:t>10</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32"/>
              <w:highlight w:val="none"/>
              <w:shd w:val="clear" w:color="auto" w:fill="FFFFFF"/>
              <w:lang w:val="en-US" w:eastAsia="zh-CN" w:bidi="ar"/>
            </w:rPr>
            <w:instrText xml:space="preserve"> HYPERLINK \l _Toc1573226014 </w:instrText>
          </w:r>
          <w:r>
            <w:rPr>
              <w:rFonts w:hint="eastAsia" w:ascii="黑体" w:hAnsi="黑体" w:eastAsia="黑体" w:cs="黑体"/>
              <w:bCs w:val="0"/>
              <w:i w:val="0"/>
              <w:caps w:val="0"/>
              <w:spacing w:val="0"/>
              <w:kern w:val="0"/>
              <w:szCs w:val="32"/>
              <w:highlight w:val="none"/>
              <w:shd w:val="clear" w:color="auto" w:fill="FFFFFF"/>
              <w:lang w:val="en-US" w:eastAsia="zh-CN" w:bidi="ar"/>
            </w:rPr>
            <w:fldChar w:fldCharType="separate"/>
          </w:r>
          <w:r>
            <w:rPr>
              <w:rFonts w:hint="eastAsia" w:ascii="黑体" w:hAnsi="黑体" w:eastAsia="黑体" w:cs="黑体"/>
              <w:szCs w:val="32"/>
              <w:highlight w:val="none"/>
              <w:lang w:val="en-US" w:eastAsia="zh-CN"/>
            </w:rPr>
            <w:t>十一、名词解释</w:t>
          </w:r>
          <w:r>
            <w:tab/>
          </w:r>
          <w:r>
            <w:fldChar w:fldCharType="begin"/>
          </w:r>
          <w:r>
            <w:instrText xml:space="preserve"> PAGEREF _Toc1573226014 \h </w:instrText>
          </w:r>
          <w:r>
            <w:fldChar w:fldCharType="separate"/>
          </w:r>
          <w:r>
            <w:t>10</w:t>
          </w:r>
          <w:r>
            <w:fldChar w:fldCharType="end"/>
          </w: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p>
          <w:pPr>
            <w:jc w:val="center"/>
            <w:rPr>
              <w:rFonts w:hint="eastAsia" w:ascii="黑体" w:hAnsi="黑体" w:eastAsia="黑体" w:cs="黑体"/>
              <w:bCs w:val="0"/>
              <w:i w:val="0"/>
              <w:caps w:val="0"/>
              <w:color w:val="000000" w:themeColor="text1"/>
              <w:spacing w:val="0"/>
              <w:kern w:val="0"/>
              <w:sz w:val="21"/>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val="0"/>
              <w:i w:val="0"/>
              <w:caps w:val="0"/>
              <w:color w:val="000000" w:themeColor="text1"/>
              <w:spacing w:val="0"/>
              <w:kern w:val="0"/>
              <w:szCs w:val="32"/>
              <w:highlight w:val="none"/>
              <w:shd w:val="clear" w:color="auto" w:fill="FFFFFF"/>
              <w:lang w:val="en-US" w:eastAsia="zh-CN" w:bidi="ar"/>
              <w14:textFill>
                <w14:solidFill>
                  <w14:schemeClr w14:val="tx1"/>
                </w14:solidFill>
              </w14:textFill>
            </w:rPr>
            <w:fldChar w:fldCharType="end"/>
          </w:r>
        </w:p>
      </w:sdtContent>
    </w:sdt>
    <w:p>
      <w:pPr>
        <w:jc w:val="center"/>
        <w:rPr>
          <w:rFonts w:hint="eastAsia" w:ascii="黑体" w:hAnsi="黑体" w:eastAsia="黑体" w:cs="黑体"/>
          <w:bCs w:val="0"/>
          <w:i w:val="0"/>
          <w:caps w:val="0"/>
          <w:color w:val="000000" w:themeColor="text1"/>
          <w:spacing w:val="0"/>
          <w:kern w:val="0"/>
          <w:sz w:val="21"/>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0" w:name="_Toc169655008"/>
      <w:r>
        <w:rPr>
          <w:rFonts w:hint="eastAsia" w:ascii="黑体" w:hAnsi="黑体" w:eastAsia="黑体" w:cs="黑体"/>
          <w:sz w:val="32"/>
          <w:szCs w:val="32"/>
          <w:lang w:val="en-US" w:eastAsia="zh-CN"/>
        </w:rPr>
        <w:t>一、基本职能及主要工作</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rPr>
      </w:pPr>
      <w:bookmarkStart w:id="1" w:name="_Toc1912965785"/>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shd w:val="clear" w:color="auto" w:fill="FFFFFF"/>
        </w:rPr>
        <w:t>广元市矿山安全培训中心</w:t>
      </w:r>
      <w:r>
        <w:rPr>
          <w:rFonts w:hint="eastAsia" w:ascii="楷体_GB2312" w:hAnsi="楷体_GB2312" w:eastAsia="楷体_GB2312" w:cs="楷体_GB2312"/>
          <w:sz w:val="32"/>
          <w:szCs w:val="32"/>
        </w:rPr>
        <w:t>职能简介</w:t>
      </w:r>
      <w:bookmarkEnd w:id="1"/>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根据2019年9月9日市委编办《关于市安全生产应急和信息中心等机构调整优化的通告》（广编办发〔2019〕89号）精神，我中心增挂市安全生产培训考试中心牌子，新增职责为承担全市安全生产培训考试具体事务工作。主要职能如下：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1.指导本市应急管理局直管考试点工作；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2.建立健全相关考试工作职责，制度，流程；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3.制定本级考试计划并向省考试中心报送；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4.负责统筹本级考试点规划，建设及监督管理，并承担初步验收工作；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5.组织对本级考试点的考核，向省考试中心提交考核结果并提出考核建议；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6.组织本市应急管理局负责考核的有关人员安全生产考试和省考试中心分配的考试任务，负责本级实施考试的档案资料审查和检查工作；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7.承担本地区考试信息系统的维护和信息管理工作；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shd w:val="clear" w:color="auto" w:fill="FFFFFF"/>
        </w:rPr>
        <w:t>8.承担本</w:t>
      </w:r>
      <w:r>
        <w:rPr>
          <w:rFonts w:hint="eastAsia" w:ascii="仿宋_GB2312" w:hAnsi="仿宋_GB2312" w:eastAsia="仿宋_GB2312" w:cs="仿宋_GB2312"/>
          <w:sz w:val="32"/>
          <w:szCs w:val="32"/>
          <w:highlight w:val="none"/>
          <w:shd w:val="clear" w:color="auto" w:fill="FFFFFF"/>
        </w:rPr>
        <w:t xml:space="preserve">市直管考试点安全生产考试远程视频监控巡考和交叉监考任务派遣工作；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 xml:space="preserve">9.负责本级监考员和考评员的管理并组织参加相关培训；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 xml:space="preserve">10.配合所属应急管理局、省考试中心做好违反安全生产考试纪律情况的调查与处理；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 xml:space="preserve">11.承担本级安全生产考试费的收缴和考务运转经费的使用；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 xml:space="preserve">12.其他相关工作。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highlight w:val="none"/>
        </w:rPr>
      </w:pPr>
      <w:bookmarkStart w:id="2" w:name="_Toc62655226"/>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sz w:val="32"/>
          <w:szCs w:val="32"/>
          <w:highlight w:val="none"/>
          <w:shd w:val="clear" w:color="auto" w:fill="FFFFFF"/>
        </w:rPr>
        <w:t>广元市矿山安全培训中心</w:t>
      </w:r>
      <w:r>
        <w:rPr>
          <w:rFonts w:hint="eastAsia" w:ascii="楷体_GB2312" w:hAnsi="楷体_GB2312" w:eastAsia="楷体_GB2312" w:cs="楷体_GB2312"/>
          <w:sz w:val="32"/>
          <w:szCs w:val="32"/>
          <w:highlight w:val="none"/>
          <w:lang w:val="en-US"/>
        </w:rPr>
        <w:t>2024</w:t>
      </w:r>
      <w:r>
        <w:rPr>
          <w:rFonts w:hint="eastAsia" w:ascii="楷体_GB2312" w:hAnsi="楷体_GB2312" w:eastAsia="楷体_GB2312" w:cs="楷体_GB2312"/>
          <w:sz w:val="32"/>
          <w:szCs w:val="32"/>
          <w:highlight w:val="none"/>
        </w:rPr>
        <w:t>年重点工作</w:t>
      </w:r>
      <w:bookmarkEnd w:id="2"/>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1.建设一支懂业务，能力强，素质高的专业</w:t>
      </w:r>
      <w:r>
        <w:rPr>
          <w:rFonts w:hint="eastAsia" w:ascii="仿宋_GB2312" w:hAnsi="仿宋" w:eastAsia="仿宋_GB2312"/>
          <w:sz w:val="32"/>
          <w:szCs w:val="32"/>
          <w:highlight w:val="none"/>
          <w:lang w:eastAsia="zh-CN"/>
        </w:rPr>
        <w:t>实操</w:t>
      </w:r>
      <w:r>
        <w:rPr>
          <w:rFonts w:hint="eastAsia" w:ascii="仿宋_GB2312" w:hAnsi="仿宋" w:eastAsia="仿宋_GB2312"/>
          <w:sz w:val="32"/>
          <w:szCs w:val="32"/>
          <w:highlight w:val="none"/>
        </w:rPr>
        <w:t>监考队伍。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s="仿宋_GB2312"/>
          <w:sz w:val="32"/>
          <w:szCs w:val="32"/>
          <w:highlight w:val="none"/>
        </w:rPr>
      </w:pPr>
      <w:r>
        <w:rPr>
          <w:rFonts w:hint="eastAsia" w:ascii="仿宋_GB2312" w:hAnsi="仿宋" w:eastAsia="仿宋_GB2312"/>
          <w:sz w:val="32"/>
          <w:szCs w:val="32"/>
          <w:highlight w:val="none"/>
        </w:rPr>
        <w:t>2.全面</w:t>
      </w:r>
      <w:r>
        <w:rPr>
          <w:rFonts w:hint="eastAsia" w:ascii="仿宋_GB2312" w:hAnsi="仿宋" w:eastAsia="仿宋_GB2312"/>
          <w:sz w:val="32"/>
          <w:szCs w:val="32"/>
          <w:highlight w:val="none"/>
          <w:lang w:eastAsia="zh-CN"/>
        </w:rPr>
        <w:t>规范</w:t>
      </w:r>
      <w:r>
        <w:rPr>
          <w:rFonts w:hint="eastAsia" w:ascii="仿宋_GB2312" w:hAnsi="仿宋" w:eastAsia="仿宋_GB2312"/>
          <w:sz w:val="32"/>
          <w:szCs w:val="32"/>
          <w:highlight w:val="none"/>
        </w:rPr>
        <w:t>安全生产培训考试工作，</w:t>
      </w:r>
      <w:r>
        <w:rPr>
          <w:rFonts w:hint="eastAsia" w:ascii="仿宋_GB2312" w:eastAsia="仿宋_GB2312" w:cs="仿宋_GB2312"/>
          <w:sz w:val="32"/>
          <w:szCs w:val="32"/>
          <w:highlight w:val="none"/>
          <w:lang w:eastAsia="zh-CN"/>
        </w:rPr>
        <w:t>每季度组织各实操考点老师进行交流，加强对实操考试问题的总结，进行实操考试统一规划，制定有针对性、可操作性的实操考试规范章程，确保各实操考点在考试过程中规范操作，明年将全面推行实操考试交叉考评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3.及时完成上级部门临时交办</w:t>
      </w:r>
      <w:r>
        <w:rPr>
          <w:rFonts w:hint="eastAsia" w:ascii="仿宋_GB2312" w:hAnsi="仿宋" w:eastAsia="仿宋_GB2312"/>
          <w:sz w:val="32"/>
          <w:szCs w:val="32"/>
          <w:highlight w:val="none"/>
          <w:lang w:eastAsia="zh-CN"/>
        </w:rPr>
        <w:t>的其他工作</w:t>
      </w:r>
      <w:r>
        <w:rPr>
          <w:rFonts w:hint="eastAsia" w:ascii="仿宋_GB2312" w:hAnsi="仿宋"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highlight w:val="none"/>
          <w:lang w:val="en-US" w:eastAsia="zh-CN"/>
        </w:rPr>
      </w:pPr>
      <w:bookmarkStart w:id="3" w:name="_Toc605629347"/>
      <w:r>
        <w:rPr>
          <w:rFonts w:hint="eastAsia" w:ascii="黑体" w:hAnsi="黑体" w:eastAsia="黑体" w:cs="黑体"/>
          <w:sz w:val="32"/>
          <w:szCs w:val="32"/>
          <w:highlight w:val="none"/>
          <w:lang w:val="en-US" w:eastAsia="zh-CN"/>
        </w:rPr>
        <w:t>二、部门预算单位构成</w:t>
      </w:r>
      <w:bookmarkEnd w:id="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我单位为广元市应急管理局的下属二级预算单位，本单位无下属机构，设有内设机构1个。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highlight w:val="none"/>
        </w:rPr>
      </w:pPr>
      <w:bookmarkStart w:id="4" w:name="_Toc720206399"/>
      <w:r>
        <w:rPr>
          <w:rFonts w:hint="eastAsia" w:ascii="黑体" w:hAnsi="黑体" w:eastAsia="黑体" w:cs="黑体"/>
          <w:sz w:val="32"/>
          <w:szCs w:val="32"/>
          <w:highlight w:val="none"/>
          <w:lang w:val="en-US" w:eastAsia="zh-CN"/>
        </w:rPr>
        <w:t>三、收支预算情况说明</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按照综合预算的原则，</w:t>
      </w: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lang w:val="en-US" w:eastAsia="zh-CN"/>
        </w:rPr>
        <w:t>所有收入和支出均纳入部门预算管理。收入包括：一般公共预算拨款收入；支出包括：社会保障和就业支出、卫生健康支出、住房保障支出、灾害防治及应急管理支出。</w:t>
      </w: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lang w:val="en-US" w:eastAsia="zh-CN"/>
        </w:rPr>
        <w:t>2024年收支预算总数170.16万元，比2023年收支预算总数增加1.84万元，主要原因是人员经费增加。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5" w:name="_Toc667820477"/>
      <w:r>
        <w:rPr>
          <w:rFonts w:hint="eastAsia" w:ascii="楷体_GB2312" w:hAnsi="楷体_GB2312" w:eastAsia="楷体_GB2312" w:cs="楷体_GB2312"/>
          <w:sz w:val="32"/>
          <w:szCs w:val="32"/>
          <w:highlight w:val="none"/>
          <w:lang w:val="en-US" w:eastAsia="zh-CN"/>
        </w:rPr>
        <w:t>（一）收入预算情况</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lang w:val="en-US" w:eastAsia="zh-CN"/>
        </w:rPr>
        <w:t>2024年收入预算170.16万元，其中：一般公共预算拨款收入170.16万元，占100%。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6" w:name="_Toc1790004760"/>
      <w:r>
        <w:rPr>
          <w:rFonts w:hint="eastAsia" w:ascii="楷体_GB2312" w:hAnsi="楷体_GB2312" w:eastAsia="楷体_GB2312" w:cs="楷体_GB2312"/>
          <w:sz w:val="32"/>
          <w:szCs w:val="32"/>
          <w:highlight w:val="none"/>
          <w:lang w:val="en-US" w:eastAsia="zh-CN"/>
        </w:rPr>
        <w:t>（二）支出预算情况</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lang w:val="en-US" w:eastAsia="zh-CN"/>
        </w:rPr>
        <w:t>2024年支出预算170.16万元，其中：基本支出127.41万元，占74.88%；项目支出42.75万元，占25.12%</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highlight w:val="none"/>
        </w:rPr>
      </w:pPr>
      <w:bookmarkStart w:id="7" w:name="_Toc784838647"/>
      <w:r>
        <w:rPr>
          <w:rFonts w:hint="eastAsia" w:ascii="黑体" w:hAnsi="黑体" w:eastAsia="黑体" w:cs="黑体"/>
          <w:sz w:val="32"/>
          <w:szCs w:val="32"/>
          <w:highlight w:val="none"/>
          <w:lang w:val="en-US" w:eastAsia="zh-CN"/>
        </w:rPr>
        <w:t>四、财政拨款收支预算情况说明</w:t>
      </w:r>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lang w:val="en-US" w:eastAsia="zh-CN"/>
        </w:rPr>
        <w:t>2024年财政拨款收支预算总数170.16万元，比2023年财政拨款收支预算总数增加1.84万元，主要原因是人员经费增加。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收入包括：本年一般公共预算拨款收入170.16万元、支出包括：社会保障和就业支出12.8万元、卫生健康支出4.08万元、住房保障支出10.95万元、 灾害防治及应急管理支出142.33万元。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highlight w:val="none"/>
          <w:lang w:val="en-US" w:eastAsia="zh-CN"/>
        </w:rPr>
      </w:pPr>
      <w:bookmarkStart w:id="8" w:name="_Toc912468902"/>
      <w:r>
        <w:rPr>
          <w:rFonts w:hint="eastAsia" w:ascii="黑体" w:hAnsi="黑体" w:eastAsia="黑体" w:cs="黑体"/>
          <w:sz w:val="32"/>
          <w:szCs w:val="32"/>
          <w:highlight w:val="none"/>
          <w:lang w:val="en-US" w:eastAsia="zh-CN"/>
        </w:rPr>
        <w:t>五、一般公共预算当年拨款情况说明</w:t>
      </w:r>
      <w:bookmarkEnd w:id="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9" w:name="_Toc1042158926"/>
      <w:r>
        <w:rPr>
          <w:rFonts w:hint="eastAsia" w:ascii="楷体_GB2312" w:hAnsi="楷体_GB2312" w:eastAsia="楷体_GB2312" w:cs="楷体_GB2312"/>
          <w:sz w:val="32"/>
          <w:szCs w:val="32"/>
          <w:highlight w:val="none"/>
          <w:lang w:val="en-US" w:eastAsia="zh-CN"/>
        </w:rPr>
        <w:t>（一）一般公共预算当年拨款规模变化情况</w:t>
      </w:r>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lang w:val="en-US" w:eastAsia="zh-CN"/>
        </w:rPr>
        <w:t>2024年一般公共预算当年拨款170.16万元，比2023年预算数增加1.84万元，主要原因是人员经费增加。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10" w:name="_Toc2099616496"/>
      <w:r>
        <w:rPr>
          <w:rFonts w:hint="eastAsia" w:ascii="楷体_GB2312" w:hAnsi="楷体_GB2312" w:eastAsia="楷体_GB2312" w:cs="楷体_GB2312"/>
          <w:sz w:val="32"/>
          <w:szCs w:val="32"/>
          <w:highlight w:val="none"/>
          <w:lang w:val="en-US" w:eastAsia="zh-CN"/>
        </w:rPr>
        <w:t>（二）一般公共预算当年拨款结构情况</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社会保障和就业支出12.8万元，占7.52%；卫生健康支出4.08万元，占2.4%；住房保障支出10.95万元，占6.44%， 灾害防治及应急管理支出142.33万元，占83.64%。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11" w:name="_Toc1754655010"/>
      <w:r>
        <w:rPr>
          <w:rFonts w:hint="eastAsia" w:ascii="楷体_GB2312" w:hAnsi="楷体_GB2312" w:eastAsia="楷体_GB2312" w:cs="楷体_GB2312"/>
          <w:sz w:val="32"/>
          <w:szCs w:val="32"/>
          <w:highlight w:val="none"/>
          <w:lang w:val="en-US" w:eastAsia="zh-CN"/>
        </w:rPr>
        <w:t>（三）一般公共预算当年拨款具体使用情况</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1.社会保障和就业（类）行政事业单位养老支出（款）机关事业单位基本养老保险缴费支出（项）2024年预算数为12.8万元，主要用于：实施养老保险制度由单位缴纳的基本养老保险支出。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2.卫生健康（类）行政事业单位医疗（款）事业单位医疗（项）2024年预算数为4.08万元，主要用于：事业单位按规定由单位缴纳的基本医疗保险支出。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3.住房保障（类）住房改革支出（款）住房公积金（项）2024年预算数为10.95万元，主要用于：部门按规定为职工缴纳的住房公积金支出。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4.灾害防治及应急管理（类）应急管理事务（款）事业运行（项）202</w:t>
      </w: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年预算数为</w:t>
      </w:r>
      <w:r>
        <w:rPr>
          <w:rFonts w:hint="eastAsia" w:ascii="仿宋_GB2312" w:hAnsi="仿宋_GB2312" w:eastAsia="仿宋_GB2312" w:cs="仿宋_GB2312"/>
          <w:sz w:val="32"/>
          <w:szCs w:val="32"/>
          <w:highlight w:val="none"/>
          <w:shd w:val="clear" w:color="auto" w:fill="FFFFFF"/>
          <w:lang w:val="en-US" w:eastAsia="zh-CN"/>
        </w:rPr>
        <w:t>99.58</w:t>
      </w:r>
      <w:r>
        <w:rPr>
          <w:rFonts w:hint="eastAsia" w:ascii="仿宋_GB2312" w:hAnsi="仿宋_GB2312" w:eastAsia="仿宋_GB2312" w:cs="仿宋_GB2312"/>
          <w:sz w:val="32"/>
          <w:szCs w:val="32"/>
          <w:highlight w:val="none"/>
          <w:shd w:val="clear" w:color="auto" w:fill="FFFFFF"/>
        </w:rPr>
        <w:t xml:space="preserve">万元，主要用于：单位人员经费、公用经费等基本支出。 </w:t>
      </w:r>
    </w:p>
    <w:p>
      <w:pPr>
        <w:pStyle w:val="8"/>
        <w:keepNext w:val="0"/>
        <w:keepLines w:val="0"/>
        <w:widowControl/>
        <w:suppressLineNumbers w:val="0"/>
        <w:spacing w:before="180" w:beforeAutospacing="0" w:after="0" w:afterAutospacing="0" w:line="20" w:lineRule="atLeast"/>
        <w:ind w:left="0" w:right="0" w:firstLine="42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5.灾害防治及应急管理（类）应急管理事务（款）其他应急管理支出（项）202</w:t>
      </w: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 xml:space="preserve">年预算数为42.75万元，主要用于：实操考试点建设、考试中心日常运行、考试点交叉监考、防震减灾训练基地维护运行等项目支出；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highlight w:val="none"/>
        </w:rPr>
      </w:pPr>
      <w:bookmarkStart w:id="12" w:name="_Toc1895964417"/>
      <w:r>
        <w:rPr>
          <w:rFonts w:hint="eastAsia" w:ascii="黑体" w:hAnsi="黑体" w:eastAsia="黑体" w:cs="黑体"/>
          <w:sz w:val="32"/>
          <w:szCs w:val="32"/>
          <w:highlight w:val="none"/>
          <w:lang w:val="en-US" w:eastAsia="zh-CN"/>
        </w:rPr>
        <w:t>六、一般公共预算基本支出情况说明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lang w:val="en-US" w:eastAsia="zh-CN"/>
        </w:rPr>
        <w:t>2024年一般公共预算基本支出127.41万元，其中：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人员经费115.09万元，主要包括：基本工资、津贴补贴、奖金、</w:t>
      </w:r>
      <w:r>
        <w:rPr>
          <w:rFonts w:hint="default" w:ascii="仿宋_GB2312" w:hAnsi="仿宋_GB2312" w:eastAsia="仿宋_GB2312" w:cs="仿宋_GB2312"/>
          <w:sz w:val="32"/>
          <w:szCs w:val="32"/>
          <w:highlight w:val="none"/>
          <w:lang w:eastAsia="zh-CN"/>
        </w:rPr>
        <w:t>绩效工资、</w:t>
      </w:r>
      <w:r>
        <w:rPr>
          <w:rFonts w:hint="eastAsia" w:ascii="仿宋_GB2312" w:hAnsi="仿宋_GB2312" w:eastAsia="仿宋_GB2312" w:cs="仿宋_GB2312"/>
          <w:sz w:val="32"/>
          <w:szCs w:val="32"/>
          <w:highlight w:val="none"/>
          <w:lang w:val="en-US" w:eastAsia="zh-CN"/>
        </w:rPr>
        <w:t>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公用经费12.32万元，主要包括：办公费、差旅费、公务接待费、工会经费、福利费、公务用车运行维护费、其他商品和服务支出等支出。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highlight w:val="none"/>
        </w:rPr>
      </w:pPr>
      <w:bookmarkStart w:id="13" w:name="_Toc177364144"/>
      <w:r>
        <w:rPr>
          <w:rFonts w:hint="eastAsia" w:ascii="黑体" w:hAnsi="黑体" w:eastAsia="黑体" w:cs="黑体"/>
          <w:sz w:val="32"/>
          <w:szCs w:val="32"/>
          <w:highlight w:val="none"/>
          <w:lang w:val="en-US" w:eastAsia="zh-CN"/>
        </w:rPr>
        <w:t>七、“三公”经费财政拨款预算安排情况说明</w:t>
      </w:r>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lang w:val="en-US" w:eastAsia="zh-CN"/>
        </w:rPr>
        <w:t>2024年“三公”经费财政拨款预算数3.42万元，其中：公务接待费0.57万元，公务用车购置及运行维护费2.85万元，因公出国（境）经费0万元。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14" w:name="_Toc2100147142"/>
      <w:r>
        <w:rPr>
          <w:rFonts w:hint="eastAsia" w:ascii="楷体_GB2312" w:hAnsi="楷体_GB2312" w:eastAsia="楷体_GB2312" w:cs="楷体_GB2312"/>
          <w:sz w:val="32"/>
          <w:szCs w:val="32"/>
          <w:highlight w:val="none"/>
          <w:lang w:val="en-US" w:eastAsia="zh-CN"/>
        </w:rPr>
        <w:t>（一）公务接待费</w:t>
      </w:r>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公务接待费与2023年预算相比下降</w:t>
      </w:r>
      <w:r>
        <w:rPr>
          <w:rFonts w:hint="eastAsia" w:ascii="仿宋_GB2312" w:hAnsi="仿宋_GB2312" w:eastAsia="仿宋_GB2312" w:cs="仿宋_GB2312"/>
          <w:sz w:val="32"/>
          <w:szCs w:val="32"/>
          <w:highlight w:val="none"/>
        </w:rPr>
        <w:commentReference w:id="0"/>
      </w:r>
      <w:r>
        <w:rPr>
          <w:rFonts w:hint="eastAsia" w:ascii="仿宋_GB2312" w:hAnsi="仿宋_GB2312" w:eastAsia="仿宋_GB2312" w:cs="仿宋_GB2312"/>
          <w:sz w:val="32"/>
          <w:szCs w:val="32"/>
          <w:highlight w:val="none"/>
          <w:lang w:val="en-US" w:eastAsia="zh-CN"/>
        </w:rPr>
        <w:t>0.2万元，</w:t>
      </w:r>
      <w:r>
        <w:rPr>
          <w:rFonts w:hint="eastAsia" w:ascii="仿宋_GB2312" w:hAnsi="仿宋_GB2312" w:eastAsia="仿宋_GB2312" w:cs="仿宋_GB2312"/>
          <w:sz w:val="32"/>
          <w:szCs w:val="32"/>
          <w:lang w:val="en-US" w:eastAsia="zh-CN"/>
        </w:rPr>
        <w:t>主要原因是厉行节约缩减公务接待费用。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15" w:name="_Toc2124550412"/>
      <w:r>
        <w:rPr>
          <w:rFonts w:hint="eastAsia" w:ascii="楷体_GB2312" w:hAnsi="楷体_GB2312" w:eastAsia="楷体_GB2312" w:cs="楷体_GB2312"/>
          <w:sz w:val="32"/>
          <w:szCs w:val="32"/>
          <w:highlight w:val="none"/>
          <w:lang w:val="en-US" w:eastAsia="zh-CN"/>
        </w:rPr>
        <w:t>公务用车购置及运行维护费</w:t>
      </w:r>
      <w:bookmarkEnd w:id="1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公务用车购置及运行维护费与2023年预算相比持平。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单位现有公务用车1辆，其中：越野车1辆。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2024年未安排公务用车购置费。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2024年安排公务用车运行维护费2.85万元，用于1辆公务用车燃油、过路（桥）、维修、保险等方面支出，</w:t>
      </w:r>
      <w:r>
        <w:rPr>
          <w:rFonts w:hint="eastAsia" w:ascii="仿宋_GB2312" w:hAnsi="仿宋_GB2312" w:eastAsia="仿宋_GB2312" w:cs="仿宋_GB2312"/>
          <w:sz w:val="32"/>
          <w:szCs w:val="32"/>
          <w:highlight w:val="none"/>
          <w:shd w:val="clear" w:color="auto" w:fill="FFFFFF"/>
        </w:rPr>
        <w:t>主要保障广元市矿山安全培训中心考试监考、巡考工作的正常进行</w:t>
      </w:r>
      <w:r>
        <w:rPr>
          <w:rFonts w:hint="eastAsia" w:ascii="仿宋_GB2312" w:hAnsi="仿宋_GB2312" w:eastAsia="仿宋_GB2312" w:cs="仿宋_GB2312"/>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bookmarkStart w:id="16" w:name="_Toc952002171"/>
      <w:r>
        <w:rPr>
          <w:rFonts w:hint="eastAsia" w:ascii="仿宋_GB2312" w:hAnsi="仿宋_GB2312" w:eastAsia="仿宋_GB2312" w:cs="仿宋_GB2312"/>
          <w:sz w:val="32"/>
          <w:szCs w:val="32"/>
          <w:highlight w:val="none"/>
          <w:lang w:val="en-US" w:eastAsia="zh-CN"/>
        </w:rPr>
        <w:t>（</w:t>
      </w:r>
      <w:r>
        <w:rPr>
          <w:rFonts w:hint="eastAsia" w:ascii="楷体_GB2312" w:hAnsi="楷体_GB2312" w:eastAsia="楷体_GB2312" w:cs="楷体_GB2312"/>
          <w:sz w:val="32"/>
          <w:szCs w:val="32"/>
          <w:highlight w:val="none"/>
          <w:lang w:val="en-US" w:eastAsia="zh-CN"/>
        </w:rPr>
        <w:t>三）因公出国（境）经费</w:t>
      </w:r>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因公出国（境）经费与2023年预算相比持平，</w:t>
      </w:r>
      <w:r>
        <w:rPr>
          <w:rFonts w:hint="default" w:ascii="仿宋_GB2312" w:hAnsi="仿宋_GB2312" w:eastAsia="仿宋_GB2312" w:cs="仿宋_GB2312"/>
          <w:sz w:val="32"/>
          <w:szCs w:val="32"/>
          <w:highlight w:val="none"/>
          <w:lang w:eastAsia="zh-CN"/>
        </w:rPr>
        <w:t>2024年</w:t>
      </w:r>
      <w:r>
        <w:rPr>
          <w:rFonts w:hint="eastAsia" w:ascii="仿宋_GB2312" w:hAnsi="仿宋_GB2312" w:eastAsia="仿宋_GB2312" w:cs="仿宋_GB2312"/>
          <w:sz w:val="32"/>
          <w:szCs w:val="32"/>
          <w:highlight w:val="none"/>
          <w:lang w:val="en-US" w:eastAsia="zh-CN"/>
        </w:rPr>
        <w:t>无预算。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highlight w:val="none"/>
          <w:lang w:val="en-US" w:eastAsia="zh-CN"/>
        </w:rPr>
      </w:pPr>
      <w:bookmarkStart w:id="17" w:name="_Toc217777241"/>
      <w:r>
        <w:rPr>
          <w:rFonts w:hint="eastAsia" w:ascii="黑体" w:hAnsi="黑体" w:eastAsia="黑体" w:cs="黑体"/>
          <w:sz w:val="32"/>
          <w:szCs w:val="32"/>
          <w:highlight w:val="none"/>
          <w:lang w:val="en-US" w:eastAsia="zh-CN"/>
        </w:rPr>
        <w:t>八、政府性基金预算支出情况说明</w:t>
      </w:r>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lang w:val="en-US" w:eastAsia="zh-CN"/>
        </w:rPr>
        <w:t>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highlight w:val="none"/>
          <w:lang w:val="en-US" w:eastAsia="zh-CN"/>
        </w:rPr>
      </w:pPr>
      <w:bookmarkStart w:id="18" w:name="_Toc901062888"/>
      <w:r>
        <w:rPr>
          <w:rFonts w:hint="eastAsia" w:ascii="黑体" w:hAnsi="黑体" w:eastAsia="黑体" w:cs="黑体"/>
          <w:sz w:val="32"/>
          <w:szCs w:val="32"/>
          <w:highlight w:val="none"/>
          <w:lang w:val="en-US" w:eastAsia="zh-CN"/>
        </w:rPr>
        <w:t>九、国有资本经营预算支出情况说明</w:t>
      </w:r>
      <w:bookmarkEnd w:id="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lang w:val="en-US" w:eastAsia="zh-CN"/>
        </w:rPr>
        <w:t>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highlight w:val="none"/>
        </w:rPr>
      </w:pPr>
      <w:bookmarkStart w:id="19" w:name="_Toc764261530"/>
      <w:r>
        <w:rPr>
          <w:rFonts w:hint="eastAsia" w:ascii="黑体" w:hAnsi="黑体" w:eastAsia="黑体" w:cs="黑体"/>
          <w:sz w:val="32"/>
          <w:szCs w:val="32"/>
          <w:highlight w:val="none"/>
          <w:lang w:val="en-US" w:eastAsia="zh-CN"/>
        </w:rPr>
        <w:t>十、其他重要事项的情况说明</w:t>
      </w:r>
      <w:bookmarkEnd w:id="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20" w:name="_Toc412486042"/>
      <w:r>
        <w:rPr>
          <w:rFonts w:hint="eastAsia" w:ascii="楷体_GB2312" w:hAnsi="楷体_GB2312" w:eastAsia="楷体_GB2312" w:cs="楷体_GB2312"/>
          <w:sz w:val="32"/>
          <w:szCs w:val="32"/>
          <w:highlight w:val="none"/>
          <w:lang w:val="en-US" w:eastAsia="zh-CN"/>
        </w:rPr>
        <w:t>（一）机关运行经费</w:t>
      </w:r>
      <w:bookmarkEnd w:id="2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rPr>
        <w:t>为事业单位，按规定未使用机关运行的相关科目</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21" w:name="_Toc1083334087"/>
      <w:r>
        <w:rPr>
          <w:rFonts w:hint="eastAsia" w:ascii="楷体_GB2312" w:hAnsi="楷体_GB2312" w:eastAsia="楷体_GB2312" w:cs="楷体_GB2312"/>
          <w:sz w:val="32"/>
          <w:szCs w:val="32"/>
          <w:highlight w:val="none"/>
          <w:lang w:val="en-US" w:eastAsia="zh-CN"/>
        </w:rPr>
        <w:t>（二）政府采购情况</w:t>
      </w:r>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w:t>
      </w: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lang w:val="en-US" w:eastAsia="zh-CN"/>
        </w:rPr>
        <w:t>安排政府采购预算1.8万元，其中：政府采购服务预算1.8万元。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22" w:name="_Toc1842904646"/>
      <w:r>
        <w:rPr>
          <w:rFonts w:hint="eastAsia" w:ascii="楷体_GB2312" w:hAnsi="楷体_GB2312" w:eastAsia="楷体_GB2312" w:cs="楷体_GB2312"/>
          <w:sz w:val="32"/>
          <w:szCs w:val="32"/>
          <w:highlight w:val="none"/>
          <w:lang w:val="en-US" w:eastAsia="zh-CN"/>
        </w:rPr>
        <w:t>（三）国有资产占有使用情况</w:t>
      </w:r>
      <w:bookmarkEnd w:id="2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截至2023年底，</w:t>
      </w: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lang w:val="en-US" w:eastAsia="zh-CN"/>
        </w:rPr>
        <w:t>共有车辆1辆，其中，业务用车1辆。单位无价值200万元以上的大型设备。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highlight w:val="none"/>
        </w:rPr>
      </w:pPr>
      <w:bookmarkStart w:id="23" w:name="_Toc190770021"/>
      <w:r>
        <w:rPr>
          <w:rFonts w:hint="eastAsia" w:ascii="楷体_GB2312" w:hAnsi="楷体_GB2312" w:eastAsia="楷体_GB2312" w:cs="楷体_GB2312"/>
          <w:sz w:val="32"/>
          <w:szCs w:val="32"/>
          <w:highlight w:val="none"/>
          <w:lang w:val="en-US" w:eastAsia="zh-CN"/>
        </w:rPr>
        <w:t>（四）绩效目标设置情况</w:t>
      </w:r>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w:t>
      </w:r>
      <w:r>
        <w:rPr>
          <w:rFonts w:hint="eastAsia" w:ascii="仿宋_GB2312" w:hAnsi="仿宋_GB2312" w:eastAsia="仿宋_GB2312" w:cs="仿宋_GB2312"/>
          <w:sz w:val="32"/>
          <w:szCs w:val="32"/>
          <w:highlight w:val="none"/>
          <w:shd w:val="clear" w:color="auto" w:fill="FFFFFF"/>
        </w:rPr>
        <w:t>广元市矿山安全培训中心</w:t>
      </w:r>
      <w:r>
        <w:rPr>
          <w:rFonts w:hint="eastAsia" w:ascii="仿宋_GB2312" w:hAnsi="仿宋_GB2312" w:eastAsia="仿宋_GB2312" w:cs="仿宋_GB2312"/>
          <w:sz w:val="32"/>
          <w:szCs w:val="32"/>
          <w:highlight w:val="none"/>
          <w:lang w:val="en-US" w:eastAsia="zh-CN"/>
        </w:rPr>
        <w:t>开展绩效目标管理的项目11个，涉及预算170.16万元。其中：人员类项目4个，涉及预算115.09万元；运转类项目3个，涉及预算12.32万元；特定目标类项目4个，涉及预算42.75万元。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highlight w:val="none"/>
        </w:rPr>
      </w:pPr>
      <w:bookmarkStart w:id="24" w:name="_Toc1573226014"/>
      <w:r>
        <w:rPr>
          <w:rFonts w:hint="eastAsia" w:ascii="黑体" w:hAnsi="黑体" w:eastAsia="黑体" w:cs="黑体"/>
          <w:sz w:val="32"/>
          <w:szCs w:val="32"/>
          <w:highlight w:val="none"/>
          <w:lang w:val="en-US" w:eastAsia="zh-CN"/>
        </w:rPr>
        <w:t>十一、名词解释</w:t>
      </w:r>
      <w:bookmarkEnd w:id="24"/>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default" w:ascii="仿宋_GB2312" w:eastAsia="仿宋_GB2312" w:cs="仿宋_GB2312"/>
          <w:kern w:val="2"/>
          <w:sz w:val="32"/>
          <w:szCs w:val="32"/>
        </w:rPr>
      </w:pPr>
      <w:r>
        <w:rPr>
          <w:rFonts w:hint="eastAsia" w:ascii="楷体_GB2312" w:hAnsi="楷体_GB2312" w:eastAsia="楷体_GB2312" w:cs="楷体_GB2312"/>
          <w:sz w:val="32"/>
          <w:szCs w:val="32"/>
          <w:lang w:val="en-US" w:eastAsia="zh-CN"/>
        </w:rPr>
        <w:t>（一）</w:t>
      </w:r>
      <w:r>
        <w:rPr>
          <w:rFonts w:hint="default" w:ascii="楷体_GB2312" w:hAnsi="Calibri" w:eastAsia="楷体_GB2312" w:cs="楷体_GB2312"/>
          <w:color w:val="auto"/>
          <w:kern w:val="2"/>
          <w:sz w:val="32"/>
          <w:szCs w:val="32"/>
          <w:lang w:val="en-US" w:eastAsia="zh-CN" w:bidi="ar"/>
        </w:rPr>
        <w:t>财政拨款收入</w:t>
      </w:r>
      <w:r>
        <w:rPr>
          <w:rFonts w:hint="eastAsia" w:ascii="楷体_GB2312" w:eastAsia="楷体_GB2312" w:cs="楷体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指市财政当年安排的财政预算收入。按现行管理制度</w:t>
      </w:r>
      <w:r>
        <w:rPr>
          <w:rFonts w:hint="eastAsia" w:ascii="仿宋_GB2312"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部门预算中反映的财政拨款包括一般公共预算拨款和政府性基金预算拨款。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eastAsia="zh-CN"/>
        </w:rPr>
        <w:t>二</w:t>
      </w:r>
      <w:r>
        <w:rPr>
          <w:rFonts w:hint="eastAsia" w:ascii="楷体_GB2312" w:hAnsi="楷体_GB2312" w:eastAsia="楷体_GB2312" w:cs="楷体_GB2312"/>
          <w:sz w:val="32"/>
          <w:szCs w:val="32"/>
          <w:lang w:val="en-US" w:eastAsia="zh-CN"/>
        </w:rPr>
        <w:t>）社会保障和就业（类）行政事业单位养老支出（款）机关事业单位基本养老保险缴费支出（项）：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eastAsia="zh-CN"/>
        </w:rPr>
        <w:t>三</w:t>
      </w:r>
      <w:r>
        <w:rPr>
          <w:rFonts w:hint="eastAsia" w:ascii="楷体_GB2312" w:hAnsi="楷体_GB2312" w:eastAsia="楷体_GB2312" w:cs="楷体_GB2312"/>
          <w:sz w:val="32"/>
          <w:szCs w:val="32"/>
          <w:lang w:val="en-US" w:eastAsia="zh-CN"/>
        </w:rPr>
        <w:t>）卫生健康（类）行政事业单位医疗（款）事业单位医疗（项）：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eastAsia="zh-CN"/>
        </w:rPr>
        <w:t>四</w:t>
      </w:r>
      <w:r>
        <w:rPr>
          <w:rFonts w:hint="eastAsia" w:ascii="楷体_GB2312" w:hAnsi="楷体_GB2312" w:eastAsia="楷体_GB2312" w:cs="楷体_GB2312"/>
          <w:sz w:val="32"/>
          <w:szCs w:val="32"/>
          <w:lang w:val="en-US" w:eastAsia="zh-CN"/>
        </w:rPr>
        <w:t>）住房保障（类）住房改革支出（款）住房公积金（项）：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pPr>
        <w:pStyle w:val="8"/>
        <w:keepNext w:val="0"/>
        <w:keepLines w:val="0"/>
        <w:widowControl/>
        <w:suppressLineNumbers w:val="0"/>
        <w:spacing w:before="180" w:beforeAutospacing="0" w:after="0" w:afterAutospacing="0" w:line="20" w:lineRule="atLeast"/>
        <w:ind w:right="0"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color="auto" w:fill="FFFFFF"/>
        </w:rPr>
        <w:t>（</w:t>
      </w:r>
      <w:r>
        <w:rPr>
          <w:rFonts w:hint="default" w:ascii="楷体_GB2312" w:hAnsi="楷体_GB2312" w:eastAsia="楷体_GB2312" w:cs="楷体_GB2312"/>
          <w:sz w:val="32"/>
          <w:szCs w:val="32"/>
          <w:shd w:val="clear" w:color="auto" w:fill="FFFFFF"/>
        </w:rPr>
        <w:t>五</w:t>
      </w:r>
      <w:r>
        <w:rPr>
          <w:rFonts w:hint="eastAsia" w:ascii="楷体_GB2312" w:hAnsi="楷体_GB2312" w:eastAsia="楷体_GB2312" w:cs="楷体_GB2312"/>
          <w:sz w:val="32"/>
          <w:szCs w:val="32"/>
          <w:shd w:val="clear" w:color="auto" w:fill="FFFFFF"/>
        </w:rPr>
        <w:t>）灾害防治及应急管理支出（类）应急管理事务（款）事业</w:t>
      </w:r>
      <w:r>
        <w:rPr>
          <w:rFonts w:hint="default" w:ascii="楷体_GB2312" w:hAnsi="楷体_GB2312" w:eastAsia="楷体_GB2312" w:cs="楷体_GB2312"/>
          <w:sz w:val="32"/>
          <w:szCs w:val="32"/>
          <w:shd w:val="clear" w:color="auto" w:fill="FFFFFF"/>
        </w:rPr>
        <w:t>运行</w:t>
      </w:r>
      <w:r>
        <w:rPr>
          <w:rFonts w:hint="eastAsia" w:ascii="楷体_GB2312" w:hAnsi="楷体_GB2312" w:eastAsia="楷体_GB2312" w:cs="楷体_GB2312"/>
          <w:sz w:val="32"/>
          <w:szCs w:val="32"/>
          <w:shd w:val="clear" w:color="auto" w:fill="FFFFFF"/>
        </w:rPr>
        <w:t>（项）：</w:t>
      </w:r>
      <w:r>
        <w:rPr>
          <w:rFonts w:hint="eastAsia" w:ascii="仿宋_GB2312" w:hAnsi="仿宋_GB2312" w:eastAsia="仿宋_GB2312" w:cs="仿宋_GB2312"/>
          <w:sz w:val="32"/>
          <w:szCs w:val="32"/>
          <w:shd w:val="clear" w:color="auto" w:fill="FFFFFF"/>
        </w:rPr>
        <w:t>指事业单位的人员支出和公用支出等基本支出</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 xml:space="preserve"> </w:t>
      </w:r>
    </w:p>
    <w:p>
      <w:pPr>
        <w:pStyle w:val="8"/>
        <w:keepNext w:val="0"/>
        <w:keepLines w:val="0"/>
        <w:widowControl/>
        <w:suppressLineNumbers w:val="0"/>
        <w:spacing w:before="180" w:beforeAutospacing="0" w:after="0" w:afterAutospacing="0" w:line="20" w:lineRule="atLeast"/>
        <w:ind w:right="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shd w:val="clear" w:color="auto" w:fill="FFFFFF"/>
        </w:rPr>
        <w:t>（</w:t>
      </w:r>
      <w:r>
        <w:rPr>
          <w:rFonts w:hint="default" w:ascii="楷体_GB2312" w:hAnsi="楷体_GB2312" w:eastAsia="楷体_GB2312" w:cs="楷体_GB2312"/>
          <w:sz w:val="32"/>
          <w:szCs w:val="32"/>
          <w:shd w:val="clear" w:color="auto" w:fill="FFFFFF"/>
        </w:rPr>
        <w:t>六</w:t>
      </w:r>
      <w:r>
        <w:rPr>
          <w:rFonts w:hint="eastAsia" w:ascii="楷体_GB2312" w:hAnsi="楷体_GB2312" w:eastAsia="楷体_GB2312" w:cs="楷体_GB2312"/>
          <w:sz w:val="32"/>
          <w:szCs w:val="32"/>
          <w:shd w:val="clear" w:color="auto" w:fill="FFFFFF"/>
        </w:rPr>
        <w:t xml:space="preserve">）灾害防治及应急管理支出（类）应急管理事务（款）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shd w:val="clear" w:color="auto" w:fill="FFFFFF"/>
        </w:rPr>
        <w:t>其他应急管理支出（项）：</w:t>
      </w:r>
      <w:r>
        <w:rPr>
          <w:rFonts w:hint="eastAsia" w:ascii="仿宋_GB2312" w:hAnsi="仿宋_GB2312" w:eastAsia="仿宋_GB2312" w:cs="仿宋_GB2312"/>
          <w:sz w:val="32"/>
          <w:szCs w:val="32"/>
          <w:shd w:val="clear" w:color="auto" w:fill="FFFFFF"/>
        </w:rPr>
        <w:t>指用于其他应急管理方面的项目支出。</w:t>
      </w:r>
    </w:p>
    <w:p>
      <w:pPr>
        <w:pStyle w:val="8"/>
        <w:keepNext w:val="0"/>
        <w:keepLines w:val="0"/>
        <w:widowControl/>
        <w:suppressLineNumbers w:val="0"/>
        <w:spacing w:before="180" w:beforeAutospacing="0" w:after="0" w:afterAutospacing="0" w:line="20" w:lineRule="atLeast"/>
        <w:ind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预算公开表</w:t>
      </w:r>
    </w:p>
    <w:bookmarkEnd w:id="25"/>
    <w:sectPr>
      <w:footerReference r:id="rId5" w:type="default"/>
      <w:pgSz w:w="11906" w:h="16838"/>
      <w:pgMar w:top="2098" w:right="1474" w:bottom="1984" w:left="1587" w:header="720" w:footer="1559"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 w:date="2024-02-18T14:40:16Z" w:initials=" ">
    <w:p w14:paraId="48230029">
      <w:pPr>
        <w:pStyle w:val="3"/>
        <w:rPr>
          <w:rFonts w:hint="eastAsia" w:eastAsia="宋体"/>
          <w:lang w:eastAsia="zh-CN"/>
        </w:rPr>
      </w:pPr>
      <w:r>
        <w:rPr>
          <w:rFonts w:hint="eastAsia"/>
          <w:lang w:eastAsia="zh-CN"/>
        </w:rPr>
        <w:t>请核对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2"/>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zQ3ZDlmOGI0ZmVlMDUyZTIwYmUzOTIxOGRmNGUifQ=="/>
    <w:docVar w:name="KSO_WPS_MARK_KEY" w:val="90ae4b14-a641-4dd6-81bc-79e54d5970a8"/>
  </w:docVars>
  <w:rsids>
    <w:rsidRoot w:val="00000000"/>
    <w:rsid w:val="012352D1"/>
    <w:rsid w:val="06B5407A"/>
    <w:rsid w:val="08D75229"/>
    <w:rsid w:val="13157C9A"/>
    <w:rsid w:val="175F29F9"/>
    <w:rsid w:val="1B2204A8"/>
    <w:rsid w:val="1D6203DD"/>
    <w:rsid w:val="1D9F113A"/>
    <w:rsid w:val="1E8C1030"/>
    <w:rsid w:val="1F7BF06F"/>
    <w:rsid w:val="1FEE4B73"/>
    <w:rsid w:val="22651C55"/>
    <w:rsid w:val="23B823D6"/>
    <w:rsid w:val="23CE9849"/>
    <w:rsid w:val="25F714D1"/>
    <w:rsid w:val="26675B6F"/>
    <w:rsid w:val="272C7237"/>
    <w:rsid w:val="299FE594"/>
    <w:rsid w:val="2C271996"/>
    <w:rsid w:val="2C5E2C83"/>
    <w:rsid w:val="347D4D3B"/>
    <w:rsid w:val="34EB3D10"/>
    <w:rsid w:val="34F871F0"/>
    <w:rsid w:val="372799D5"/>
    <w:rsid w:val="3878BD4A"/>
    <w:rsid w:val="39F304DD"/>
    <w:rsid w:val="3DF735FB"/>
    <w:rsid w:val="3FFA1F95"/>
    <w:rsid w:val="47DFF25B"/>
    <w:rsid w:val="493E02D2"/>
    <w:rsid w:val="4AB336DA"/>
    <w:rsid w:val="4BDF660F"/>
    <w:rsid w:val="503C0662"/>
    <w:rsid w:val="54244390"/>
    <w:rsid w:val="54662A63"/>
    <w:rsid w:val="575B793E"/>
    <w:rsid w:val="58064E12"/>
    <w:rsid w:val="5BFEE015"/>
    <w:rsid w:val="5C5509F2"/>
    <w:rsid w:val="61F64937"/>
    <w:rsid w:val="63EDCF55"/>
    <w:rsid w:val="63FBFBCF"/>
    <w:rsid w:val="669360FD"/>
    <w:rsid w:val="67AE1A3B"/>
    <w:rsid w:val="68FF6A83"/>
    <w:rsid w:val="6A2F23F8"/>
    <w:rsid w:val="6AEF6005"/>
    <w:rsid w:val="6C31213D"/>
    <w:rsid w:val="6CD1096C"/>
    <w:rsid w:val="6E3DB48E"/>
    <w:rsid w:val="6FBBC9CF"/>
    <w:rsid w:val="700A2501"/>
    <w:rsid w:val="70B84AAE"/>
    <w:rsid w:val="72BDE561"/>
    <w:rsid w:val="72DF772F"/>
    <w:rsid w:val="78462278"/>
    <w:rsid w:val="7997EA6C"/>
    <w:rsid w:val="7ACF119C"/>
    <w:rsid w:val="7AEAE675"/>
    <w:rsid w:val="7BAFCE5D"/>
    <w:rsid w:val="7BDAA1DE"/>
    <w:rsid w:val="7D46598C"/>
    <w:rsid w:val="7D9F8F0F"/>
    <w:rsid w:val="7DBF448B"/>
    <w:rsid w:val="7DF384B2"/>
    <w:rsid w:val="7DFB240B"/>
    <w:rsid w:val="7DFE05E7"/>
    <w:rsid w:val="7E0935ED"/>
    <w:rsid w:val="7EB552A3"/>
    <w:rsid w:val="7ECFD166"/>
    <w:rsid w:val="7ED7C97A"/>
    <w:rsid w:val="7FCF2AF7"/>
    <w:rsid w:val="9FEF033D"/>
    <w:rsid w:val="A27FF1E5"/>
    <w:rsid w:val="AF3FEDDD"/>
    <w:rsid w:val="AFDEB5A7"/>
    <w:rsid w:val="AFEA7FBF"/>
    <w:rsid w:val="B83F4767"/>
    <w:rsid w:val="B97CD22B"/>
    <w:rsid w:val="BE736C41"/>
    <w:rsid w:val="BEDF46E9"/>
    <w:rsid w:val="BF930F07"/>
    <w:rsid w:val="BFCE8436"/>
    <w:rsid w:val="C3F7EB7A"/>
    <w:rsid w:val="CDDD9276"/>
    <w:rsid w:val="CFF5FEEC"/>
    <w:rsid w:val="D3DD9064"/>
    <w:rsid w:val="D6F76A0C"/>
    <w:rsid w:val="D7ECE8D2"/>
    <w:rsid w:val="DFDD4FB5"/>
    <w:rsid w:val="E6DDD50A"/>
    <w:rsid w:val="E7F748B5"/>
    <w:rsid w:val="EBF6B053"/>
    <w:rsid w:val="EE5F3713"/>
    <w:rsid w:val="EFC9D62C"/>
    <w:rsid w:val="F6BE9755"/>
    <w:rsid w:val="F6FFA89B"/>
    <w:rsid w:val="F7DE8D57"/>
    <w:rsid w:val="F88D0DC7"/>
    <w:rsid w:val="FAE4EFE1"/>
    <w:rsid w:val="FB9B6F12"/>
    <w:rsid w:val="FBB66A4A"/>
    <w:rsid w:val="FDEE6989"/>
    <w:rsid w:val="FF5E7DB8"/>
    <w:rsid w:val="FF77E367"/>
    <w:rsid w:val="FFB7BD35"/>
    <w:rsid w:val="FFD576EB"/>
    <w:rsid w:val="FFDB1578"/>
    <w:rsid w:val="FFDFBD03"/>
    <w:rsid w:val="FFE7A65C"/>
    <w:rsid w:val="FFFADE43"/>
    <w:rsid w:val="FFFBE8B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annotation text"/>
    <w:basedOn w:val="1"/>
    <w:qFormat/>
    <w:uiPriority w:val="0"/>
    <w:pPr>
      <w:jc w:val="left"/>
    </w:p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qFormat/>
    <w:uiPriority w:val="0"/>
  </w:style>
  <w:style w:type="paragraph" w:styleId="8">
    <w:name w:val="Normal (Web)"/>
    <w:basedOn w:val="1"/>
    <w:qFormat/>
    <w:uiPriority w:val="0"/>
    <w:rPr>
      <w:sz w:val="24"/>
    </w:rPr>
  </w:style>
  <w:style w:type="character" w:customStyle="1" w:styleId="11">
    <w:name w:val="默认段落字体1"/>
    <w:qFormat/>
    <w:uiPriority w:val="0"/>
  </w:style>
  <w:style w:type="paragraph" w:customStyle="1" w:styleId="12">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3594</Words>
  <Characters>3904</Characters>
  <Lines>1</Lines>
  <Paragraphs>1</Paragraphs>
  <TotalTime>1</TotalTime>
  <ScaleCrop>false</ScaleCrop>
  <LinksUpToDate>false</LinksUpToDate>
  <CharactersWithSpaces>4017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2018-12-02T09:47:00Z</dcterms:created>
  <dc:creator>admin</dc:creator>
  <cp:lastModifiedBy>大梨子</cp:lastModifiedBy>
  <dcterms:modified xsi:type="dcterms:W3CDTF">2024-02-28T02:35:42Z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6105DC348FF94EA8B2593BCBBF7280CD_13</vt:lpwstr>
  </property>
</Properties>
</file>