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1-1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四川省广元市自然灾害应急能力提升工程基层防灾项目</w:t>
      </w:r>
      <w:r>
        <w:rPr>
          <w:rFonts w:hint="eastAsia"/>
          <w:lang w:val="en-US" w:eastAsia="zh-CN"/>
        </w:rPr>
        <w:t>需求基本技术要求</w:t>
      </w:r>
      <w:r>
        <w:rPr>
          <w:rFonts w:hint="eastAsia"/>
          <w:lang w:eastAsia="zh-CN"/>
        </w:rPr>
        <w:t>（森林（草原）火灾扑救装备）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4155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隔离带开辟机器人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采用双履带式行走机构，可粉碎树木、灌木、草等可燃性植物，迅速开辟防火隔离带。可粉碎的树木直径≥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，发动机功率≥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，燃料箱容量≥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30L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，液压油箱容量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≥40L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，时速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≥10km/h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机载吊桶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用于直升机吊载空中灭火，具备多次放水、防腐蚀、耐盐碱等功能。载荷≥3000kg，可实现2500kg、2000kg等不同载荷调节，自重≤200kg。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（高压接力水泵）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高压接力水泵可实现多台水泵串、并联架设，扬程≥120m，吸程≥3m。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森林火灾扑救特类车辆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（高压喷雾车）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采用四驱越野底盘，涉水深度≥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，越壕≥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，越障≥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，承载人数≥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人，配备高压喷雾系统，消防泵额定流量≥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3L/s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，喷雾枪射程≥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，液罐容积≥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1000L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森林火灾扑救特类车辆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（隔离带开辟车）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具备对密集荆棘枝干、灌木杂草、高大林木等多种植被的粉碎、刨铣和卷土翻填掩埋等隔离带开辟功能，可选配照明设备。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森林火灾扑救特类车辆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（灭火车）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灭火挡板、碾压灭火板、拖拽灭火装置、风力灭火机、灭火弹箱等组成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森林火灾扑救特类车辆（远程供水管线车）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内置照明、远程供水等系统，以取力器为动力源，水带铺设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，扬程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高扬程水泵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用于串联供水灭火作业，四冲程双缸风冷发动机，含配件包。功率≥20kW，工作压力≥3MPa，流量≥150L/min，扬程≥300m。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便携式灭火水泵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四冲程、单缸、风冷汽油机、自回式手拉绳启动/电启动，扬程≥7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m，重量≤15kg。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风力灭火机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用于森林(草原)火灾扑救，功率≥3kW。配备便携式加油器，容量≥20L,质量≤3kg。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高压接力消防水泵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用于高强度灭火,可实现多台水泵串、并联架设，含配件包。流量≥300L/min，吸程≥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高压细水雾灭火机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用于森林（草原）火灾扑救。容积≥20L，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喷头分为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直流和雾化，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射程：直流≥1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m,连续工作≥15min,可伸缩。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割灌机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于割除易燃灌木野草，打通火灾入场通道，功率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≥1.5kW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个人护具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用于灭火救援个体防护，包含防火头盔、防火服、扑火服、应急背囊、防火防扎鞋、扑火鞋、防火头套、防火手套、头灯、护目镜、防毒面具等装备。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红外热成像仪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用于隐患火点探测。液晶显示屏，可调整图像显示等，电池续航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绝缘剪断钳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用于事故现场电线电缆或其他带电体的剪切，减小触电危险。绝缘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≥380V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，剪柄耐电压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≥3000V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软体水枪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可灌装A类/B类泡沫，耐腐蚀，配备高强度可调腰带及肩带，容量≥20L。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消防摩托车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用于保障山区森林火灾扑救。功率≥1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kW，配消防泵，流量≥3L/s，扬程≥5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移动蓄水池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用于无水源场景，作为森林消防泵及其他以水灭火装备的临时水源点，分为水囊、贮水池、蓄水池等，无需捆绑固定可直接向罐内注水自立，容积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汽油机驱动，功率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有毒有害气体检测仪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用于检查氧气、一氧化碳、二氧化氮等气体浓度。泵吸式，包括声光双重报警、半导体传感器、充电电池等组件。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中小型水罐消防车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用于小范围火灾早期扑灭。载水≥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³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自救呼吸器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采用耐高温阻燃材料制造，滤烟效率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，吸气阻力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≤120Pa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，单个滤芯累计防护时间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default" w:ascii="Times New Roman" w:hAnsi="Times New Roman" w:eastAsia="方正黑体简体" w:cs="Times New Roman"/>
          <w:color w:val="000000"/>
          <w:szCs w:val="32"/>
          <w:lang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1-2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四川省广元市自然灾害应急能力提升工程基层防灾项目</w:t>
      </w:r>
      <w:r>
        <w:rPr>
          <w:rFonts w:hint="eastAsia"/>
          <w:lang w:val="en-US" w:eastAsia="zh-CN"/>
        </w:rPr>
        <w:t>需求基本技术要求</w:t>
      </w:r>
      <w:r>
        <w:rPr>
          <w:rFonts w:hint="eastAsia"/>
          <w:lang w:eastAsia="zh-CN"/>
        </w:rPr>
        <w:t>（地震地质灾害救援装备）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4155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地震搜索机器人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用于救援现场提供无人搜救功能。防护等级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≥IP67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，离地间隙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，越障高度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，爬坡度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，可实现自主避障、自主导航、自主报警、音视频回传等。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破拆机器人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用于城市地下空间、塌方隧道以及管道等狭小空间现场勘测、清障除险等场景。配备破碎锤、岩石锯等属具，具备破拆、切割、剪切、抓取等功能。无线遥控≥1km，爬坡能力≥30°，功率≥30kW。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混凝土液压破拆工具组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用于救援现场实施凿破、打孔等功能的设备。由液压动力站、液压破碎镐、液压圆盘切割锯、液压链锯、液压原木链锯、液压岩心钻、液压增压器和液压渣浆泵组合而成。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复合气体探测器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用于检测空气中的可燃、有毒气体和蒸气含量，具备超限报警等功能。主通讯模块通讯距离≥2000m，Mesh模块通信距离≥200m，可选配定位模块等。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生命探测仪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（雷达生命探测仪）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雷达生命探测仪包含雷达主机和显示控制终端等，探测墙体厚度≥50cm、静止生命体距离≥15m、运动生命体距离≥20m，具备灵敏度设置功能。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生命探测仪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（音视频生命探测仪）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音视频生命探测仪配备红外热成像探头，具备红外热成像功能，指挥终端与音视频主机之间的无线通信距离≥100m，工作时长≥10h。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高压起重气垫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用于地震、塌方、建筑物坍塌等灾害现场的起重作业。包括小型、中型和大型方形平面起重气垫和气垫操控组件，最大起重≥20t。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全站仪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用于对灾害事故现场结构物形变、距离、角度等进行精确测量，为救援提供数据技术支撑。测距范围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≥3km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，具有超高精度角度和距离测量系统，测距精度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≥0.5mm+1ppm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，无棱镜测程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绳索救援套装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用于辅助救援人员进行攀爬以及搭建救援通道抢救和运送伤员。包含绳索手套、山岳救援头盔、头灯、护目镜、全身式安全吊带、安全绳、安全钩、上升器、抓绳器、下降器、滑轮、连接带、缓冲器等。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液压破拆工具组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用于地震、塌方、建筑物坍塌等灾害现场障碍物起重和支撑作业，对金属或非金属结构进行剪切、扩张、撑顶等，以保障救援行动的有序进行。包括液压泵、剪切器、扩张器、千斤顶、开缝器、救援顶杆。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激光测距仪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用于远距离测量。测量距离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，测距误差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，准测率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，重复频率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/min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，视场角度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≥6.5°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便携式防水防爆应急强光灯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用于水下空间或其他高危场所照明。强光聚光放电时间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，工作光聚光放电时间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，具备聚光、泛光及聚泛光强弱可调节功能。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钢筋速断器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用于切断钢筋施救，最大剪切力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≥120kN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，最大切割钢筋直径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正压空气呼吸器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具有耐高温、阻燃、绝缘、防腐、防水和便携等性能。使用时间≥1.5h。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流动测震仪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用于振动检测、轴承状态分析和红外线温度测量。测量速度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≥1.5m/s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，存储温度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氧气呼吸器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防护时间≥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，吸气中氧气浓度≥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，吸气中二氧化碳浓度≤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重型支撑套装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用于地震、塌方、建筑物坍塌等支撑作业，由支撑杆及各种附件组成，互相通用，具有重量轻、便携带、强度高等特点，最大支撑力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≥25t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凿岩机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用于岩石、混凝土等物体破碎。冲击频率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/min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，冲击力度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≥40J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，钎头可更换。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链锯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用于对木材、钢筋、混凝土等结构构件进行切割，空载转速≥4000r/min，功率≥1.5kW。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漏电检测仪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用于确定漏电位置，保护人员安全。探测电压范围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120V/60hz-220V/50hz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切割锯套装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用于营救受困人员，对物体进行切割等。包括无齿锯、链锯、双轮异向切割锯。无齿锯砂轮直径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，链锯转速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≥14000r/min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，双轮异向切割锯锯深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阻流袋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用于快速密封管道输出口，防止有害液体流入管道等，充气压力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≥1bar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，耐热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default" w:ascii="Times New Roman" w:hAnsi="Times New Roman" w:eastAsia="方正黑体简体" w:cs="Times New Roman"/>
          <w:color w:val="000000"/>
          <w:szCs w:val="32"/>
          <w:lang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1-3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四川省广元市自然灾害应急能力提升工程基层防灾项目</w:t>
      </w:r>
      <w:r>
        <w:rPr>
          <w:rFonts w:hint="eastAsia"/>
          <w:lang w:val="en-US" w:eastAsia="zh-CN"/>
        </w:rPr>
        <w:t>需求基本技术要求</w:t>
      </w:r>
      <w:r>
        <w:rPr>
          <w:rFonts w:hint="eastAsia"/>
          <w:lang w:eastAsia="zh-CN"/>
        </w:rPr>
        <w:t>（抗洪抢险装备）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4155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多功能轻型应急救援车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用于洪涝灾害引起的建筑倒塌，道路损毁等抢险救援场景，车辆配备越野底盘，通过性能好，具备起重、挖掘、破拆、抓取、发电、照明、破障、牵引等功能，吊重≥3t，斗容≥0.3m³，抓取≥1t，涉水深度≥600mm。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排水抢险车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（小型排水抢险车）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小型排水抢险车由皮卡车搭载发电机组、大流量潜水泵、控制柜、排水软管、浮圈等组成，具备移动排水、自发供电和远程监控调度等功能，排水量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00m³/h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高扬程潜水泵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用于洪涝灾害时地铁、隧道应急排水。重量≤90kg，功率≥50kW，流量≥100m³/h，扬程≥100m，连续工作时间≥12h，含水带、电缆等。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沙袋装袋机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用于快速装填沙袋、加高加固堤防、抢筑子堤等场景。装袋重量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≥15kg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，装袋直径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≥300mm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，装袋速度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无人侦测船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用于灾害现场水面巡航、检测、采样，获取灾害信息等。具有语音喊话、拍照取证、视频传输、智能避障和人员物体识别等功能，搭载测深仪、无线传输设备、数据存储设备等。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潜污泵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≥350m³/h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，扬程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，电缆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，湿式电机，泵体不锈钢材质，配套防爆开关，含配件包，连续工作时间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装载机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用于洪涝灾害现场装填砂石物料，转运物资。斗容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，掘起力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汽（柴）油机泵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用于应急抢险中排水作业任务。流量≥100m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³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/h,扬程≥20m，功率≥15kW，汽柴油驱动，出口软管≥100m，含配件包。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浮艇泵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用于洪涝灾害排水，单缸四冲程汽油发动机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轻质玻璃纤维或更优材料，离心泵，含配件包。最大流量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≥1500L/min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，出口压力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≥0.5MPa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打桩机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用于江河、湖泊堤坝加固，构筑钢木土石组合坝封堵决口，可实现木桩、钢桩等多种材质的桩体进行打桩。发动机功率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防洪子堤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用于堤防漫溢险情和地下车库、地下通道等临时加高，子堤每组长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，单元宽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，挡水深度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救生拉杆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用于营救落水和遇险被困人员，在岸上或船上开展远距离安全施救。总长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，收缩后长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，套圈直径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≥30cm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组合式防洪板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于堤防漫溢险情和地下车库、地下通道等临时加高，高强度复合材料可拆卸式防洪板，有效挡水高度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≥50cm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，弯曲强度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≥65MPa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，拉伸强度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≥35MPa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1-4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四川省广元市自然灾害应急能力提升工程基层防灾项目</w:t>
      </w:r>
      <w:r>
        <w:rPr>
          <w:rFonts w:hint="eastAsia"/>
          <w:lang w:val="en-US" w:eastAsia="zh-CN"/>
        </w:rPr>
        <w:t>需求基本技术要求</w:t>
      </w:r>
      <w:r>
        <w:rPr>
          <w:rFonts w:hint="eastAsia"/>
          <w:lang w:eastAsia="zh-CN"/>
        </w:rPr>
        <w:t>（水域救援装备）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4155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冲锋舟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冲锋舟主机安装舷外机，功率≥30kW,外置油箱容量≥20L,承载人数≥8人，功率≥30kW，承重≥800kg。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摩托艇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长度≥5m。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橡皮舟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具备电动充放气、放穿刺等功能，核载人数≥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舟艇拖车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舟艇拖车用于在应急救援中，转运舟艇使用。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救援船艇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用于防汛抢险、水域搜救、灾情侦测等涉水作业场景，满足转运受困人员、输送救援物资等。具备自动回正功能，发动机功率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45kw，具备耐磨防割、实时定位、快速充气等功能；气垫船荷载人数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8人，速度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，装载能力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中小型水陆两栖救援车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用于道路受阻常规设备无法通行情况下，保障物资运送、群众转移、救援人员通行等工作。陆地巡航速度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≥30km/h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，水上巡航速度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≥5km/h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，爬坡能力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救援浮桥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用于水域中快速通行，长度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，静态下承载浮力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≥500kg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遥控救生圈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采用两个双通道推进器，续航时间≥90min，浮力≥250N，拉力≥80N，遥控距离≥500m，内置定位系统。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潜水打捞系统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包括小型打捞袋、中型打捞袋。其中，小型打捞袋≥2个，单个提升能力≥2000kg；中型打捞袋≥2个，单个提升能力≥4000kg。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水陆两用破拆工具组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用于救援现场实施凿破功能的设备。包括电动液压泵、液压剪切器、液压扩张器、液压救援顶杆、液压管、电源控制系统、浮力装置、水下警示灯、充电系统、气压维护检测系统、便携运输箱等。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流速监测仪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用于液体流速、流量监测。测量流速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≥5m/s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，持续工作时间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水域救援工具组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由滑轮、漂浮救生绳、护轮、静力绳、绳包、护绳套、钢缆锚点、攀爬钩、安全钩等组成。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水域救援套装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由水域救援头盔、水域救援手套、水域救援靴、激流救生衣、特级干式/湿式救援服，大音量救生口哨、水域救生刀、多用途信号灯、抛绳包等组成。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水深探测仪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探测水域水深。量程≥150m，精度≤±1%，最小显示分辨率≤1mm，发射频率200～2000kHz。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救生抛投器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用于落水人员救助，工作压力≥8MPa，陆用抛射距离≥300m，水用抛射距离≥200m，锚钩抛射距离≥80m。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水下切割机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肩背式氧气瓶≥8L，氧气管长度≥1m，电缆长度≥1m，延长电缆及气管长度≥3m。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救生拉网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用于在洪水、激流等危急情况下，人员、物品救助打捞。尺寸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≥400cm×100cm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舷外机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，油箱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≥20L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自携式潜水装备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包括全面罩、水下对讲机、水面基站、干式潜水服、湿式潜水服、浮力调节背心、潜水员自用潜水气瓶、被救者呼吸系统、调节器、备用二级呼吸器、多功能仪表、潜水手电、多功能潜水刀、潜水手套、潜水鞋、潜水脚蹼、潜水配重系统、潜水装备箱、燃油空气填充泵、电动空气填充泵等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防水头灯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为水域救援提供光源。可在水下使用，连续照明时间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≥90min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，防水等级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≥IP68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，亮度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≥300lm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，续航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，节能模式续航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1-5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四川省广元市自然灾害应急能力提升工程基层防灾项目</w:t>
      </w:r>
      <w:r>
        <w:rPr>
          <w:rFonts w:hint="eastAsia"/>
          <w:lang w:val="en-US" w:eastAsia="zh-CN"/>
        </w:rPr>
        <w:t>需求基本技术要求</w:t>
      </w:r>
      <w:r>
        <w:rPr>
          <w:rFonts w:hint="eastAsia"/>
          <w:lang w:eastAsia="zh-CN"/>
        </w:rPr>
        <w:t>（综合保障装备）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00"/>
        <w:gridCol w:w="4155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应急前突车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各类灾害的信息收集与初期处置，配置四驱越野底盘，第一时间挺进灾害中心，承担通信、危险气体侦测，应急救援等多种救援任务。配备车载电台、危险气体侦测仪、细水雾灭火装置、车载绞盘、倒伏式照明灯等器材设备。其中，高机动前突车具有卫星电话、无线短波通信、4G/5G网络通信能力，配备单兵图传系统、远程视频会商系统、音视频采集等器材设备，可与后端指挥中心进行实时音视频交互，涉水深度≥1m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应急电源车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应急电源车电池能量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≥2000Wh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，输出电压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≥220V-50Hz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后勤保障车辆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（救援运兵车）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救援运兵车采用四驱驱动配置，搭乘人数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救援无人机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（测流无人机）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具备水体流速、流量监测等系统。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救援无人机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（巡堤查险无人机）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具备空中快速智能识别堤坝管涌等功能。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救援无人机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（侦察无人机）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用于火情、洪水、地形、搜索等侦察活动，搭载可见光及红外热成像相机、模块化照明与喊话系统，完成野外应急搜索、人员搜救等工作，单次作业续航时间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，巡逻覆盖覆盖半径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≥15km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通信指挥设备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（北斗终端）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终端具有北斗三号短报文通信功能，RSMC通信成功率≥95%（无遮挡、无干扰情况下），发射频点支持Lf1、Lf2频点，支持接收S频点，具备一键报警和关机报警等功能，防护等级≥IP67，可实现定位获取、位置上报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通信指挥设备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（数字集群手持终端）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集群手持终端符合《应急指挥窄带无线通信网总体技术规范》相关技术要求，发射功率1～4W可调，频率范围350-400MHz，兼容PDT/DMR/模拟制式，具备显示屏、防爆和北斗卫星定位等功能，防护等级≥IP67，支持手动写频改频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通信指挥装备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（布控球）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布控球具备远程配置码流等功能，对多条连接线集成至一个接口，支持远程发送云台控制指令，镜头支持防雨淋、防雾、防风、防沙尘功能，防护等级≥IP66。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通信指挥装备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（单兵图传）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单兵图传支持4G/5G全网通网络，支持以太网接口接入等，基于蜂窝组网技术的单兵音视频采集装备应内置麦克风及扬声器。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便携式气象仪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用于气象预报、监测等。可采集风向、风速、温度、湿度、气压等气象参数，大气温度测量范围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≥-50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~80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℃，大气压力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10~1100Pa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便携式担架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用于伤员转运和不适宜搬动人员搬运。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应急电源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为救援设备应急供电。输出功率≥1kW，电源箱质量≤10kg，工作温度-20～+50℃。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应急照明系统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用于灾害事故现场照明，光源类型为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，具备液压升降等功能。含单向直射、环形照明，可选配头灯、多功能手提探照灯、大功率广播等。功率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≥2kW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，工作时间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≥13h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，输出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电压，抗风等级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≥IP65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default" w:ascii="Times New Roman" w:hAnsi="Times New Roman" w:eastAsia="方正黑体简体" w:cs="Times New Roman"/>
          <w:color w:val="000000"/>
          <w:szCs w:val="32"/>
          <w:lang w:eastAsia="zh-CN"/>
        </w:rPr>
      </w:pPr>
    </w:p>
    <w:p>
      <w:pPr>
        <w:pStyle w:val="8"/>
        <w:ind w:left="0" w:leftChars="0" w:firstLine="0" w:firstLineChars="0"/>
        <w:rPr>
          <w:rFonts w:hint="eastAsia" w:ascii="仿宋" w:hAnsi="仿宋" w:eastAsia="仿宋"/>
          <w:color w:val="000000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GY1YTFlNWJhNTU1ODRjZTQ1YzRkNTdiNzFhMTEifQ=="/>
  </w:docVars>
  <w:rsids>
    <w:rsidRoot w:val="00000000"/>
    <w:rsid w:val="04390A7F"/>
    <w:rsid w:val="0BEEB002"/>
    <w:rsid w:val="0DA548D8"/>
    <w:rsid w:val="0FBF9CD7"/>
    <w:rsid w:val="12BC5F96"/>
    <w:rsid w:val="163EF430"/>
    <w:rsid w:val="16B51F50"/>
    <w:rsid w:val="17471E3D"/>
    <w:rsid w:val="17722860"/>
    <w:rsid w:val="1BFCD92C"/>
    <w:rsid w:val="1F77555C"/>
    <w:rsid w:val="1FFFBE9A"/>
    <w:rsid w:val="2531256E"/>
    <w:rsid w:val="27BFF575"/>
    <w:rsid w:val="2BFED772"/>
    <w:rsid w:val="32FDF3B5"/>
    <w:rsid w:val="37F7FAEA"/>
    <w:rsid w:val="3A2A5899"/>
    <w:rsid w:val="3DF5229A"/>
    <w:rsid w:val="40C563ED"/>
    <w:rsid w:val="4B766A01"/>
    <w:rsid w:val="4C2818DA"/>
    <w:rsid w:val="4FAD4B31"/>
    <w:rsid w:val="537FA442"/>
    <w:rsid w:val="5B7BA580"/>
    <w:rsid w:val="5BDF467D"/>
    <w:rsid w:val="5D367D81"/>
    <w:rsid w:val="5D7B9ACB"/>
    <w:rsid w:val="5D7C95E6"/>
    <w:rsid w:val="5DFB5B53"/>
    <w:rsid w:val="5F7DF70A"/>
    <w:rsid w:val="6782E05D"/>
    <w:rsid w:val="67BFB5CE"/>
    <w:rsid w:val="6FC667E3"/>
    <w:rsid w:val="71B071CB"/>
    <w:rsid w:val="72B25418"/>
    <w:rsid w:val="72E3C857"/>
    <w:rsid w:val="743ECD48"/>
    <w:rsid w:val="755FAA0D"/>
    <w:rsid w:val="77FB25FF"/>
    <w:rsid w:val="79FB1598"/>
    <w:rsid w:val="7D4499CC"/>
    <w:rsid w:val="7D5E18BF"/>
    <w:rsid w:val="7D7F9F54"/>
    <w:rsid w:val="7E717FE1"/>
    <w:rsid w:val="7EEFE0CF"/>
    <w:rsid w:val="7F2F210E"/>
    <w:rsid w:val="7F5F8FB5"/>
    <w:rsid w:val="7F7ECF83"/>
    <w:rsid w:val="7FA74011"/>
    <w:rsid w:val="7FAEC4B6"/>
    <w:rsid w:val="7FBF4282"/>
    <w:rsid w:val="7FE1C8FA"/>
    <w:rsid w:val="7FF1ABCA"/>
    <w:rsid w:val="7FF34886"/>
    <w:rsid w:val="7FFB9A97"/>
    <w:rsid w:val="7FFF7067"/>
    <w:rsid w:val="9B1F32E4"/>
    <w:rsid w:val="9DF86E59"/>
    <w:rsid w:val="9E7DE07E"/>
    <w:rsid w:val="9F726DD8"/>
    <w:rsid w:val="A9F5D35E"/>
    <w:rsid w:val="AAA707D9"/>
    <w:rsid w:val="B7657AA0"/>
    <w:rsid w:val="B7F42FB9"/>
    <w:rsid w:val="BB7F1BA6"/>
    <w:rsid w:val="BBEFF57F"/>
    <w:rsid w:val="BBF6D3FD"/>
    <w:rsid w:val="BBFB3CD9"/>
    <w:rsid w:val="BC5B8C0A"/>
    <w:rsid w:val="BC5E701B"/>
    <w:rsid w:val="BC7C7A1E"/>
    <w:rsid w:val="BDE9331B"/>
    <w:rsid w:val="BDF6C2E3"/>
    <w:rsid w:val="BE9FE991"/>
    <w:rsid w:val="BFDDEE66"/>
    <w:rsid w:val="BFF7042C"/>
    <w:rsid w:val="CFB908B3"/>
    <w:rsid w:val="CFBBE956"/>
    <w:rsid w:val="CFEC7C91"/>
    <w:rsid w:val="D49F62EE"/>
    <w:rsid w:val="D6BB0296"/>
    <w:rsid w:val="D7DD3312"/>
    <w:rsid w:val="D8FC3E32"/>
    <w:rsid w:val="DCFF68D1"/>
    <w:rsid w:val="DD62CCFF"/>
    <w:rsid w:val="DF5D5752"/>
    <w:rsid w:val="DFCFD655"/>
    <w:rsid w:val="DFD6BC74"/>
    <w:rsid w:val="DFD7D845"/>
    <w:rsid w:val="E4BF70F7"/>
    <w:rsid w:val="E6F937BB"/>
    <w:rsid w:val="E6FD9DC8"/>
    <w:rsid w:val="EB6DEC93"/>
    <w:rsid w:val="EDCEACE1"/>
    <w:rsid w:val="EEFEB21C"/>
    <w:rsid w:val="F4BCF5E1"/>
    <w:rsid w:val="F5D3063B"/>
    <w:rsid w:val="F7BD6FDE"/>
    <w:rsid w:val="F7DE2AB8"/>
    <w:rsid w:val="F95F1CE1"/>
    <w:rsid w:val="FAFAFCDF"/>
    <w:rsid w:val="FBF6C9B4"/>
    <w:rsid w:val="FCDEDCB9"/>
    <w:rsid w:val="FD8BF5FC"/>
    <w:rsid w:val="FDEF9FAB"/>
    <w:rsid w:val="FDFC10CB"/>
    <w:rsid w:val="FE0758CC"/>
    <w:rsid w:val="FE2362E1"/>
    <w:rsid w:val="FEDC79BD"/>
    <w:rsid w:val="FEED113B"/>
    <w:rsid w:val="FEEF661D"/>
    <w:rsid w:val="FF5F5AB7"/>
    <w:rsid w:val="FF6FD134"/>
    <w:rsid w:val="FFA9C752"/>
    <w:rsid w:val="FFDE1347"/>
    <w:rsid w:val="FFEF8982"/>
    <w:rsid w:val="FFF5C4A0"/>
    <w:rsid w:val="FFFD510B"/>
    <w:rsid w:val="FFFD8FAD"/>
    <w:rsid w:val="FFFF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ind w:firstLine="675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styleId="8">
    <w:name w:val="Body Text First Indent 2"/>
    <w:basedOn w:val="5"/>
    <w:semiHidden/>
    <w:qFormat/>
    <w:uiPriority w:val="99"/>
    <w:pPr>
      <w:ind w:firstLine="42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font112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Lenovo</dc:creator>
  <cp:lastModifiedBy>uos</cp:lastModifiedBy>
  <dcterms:modified xsi:type="dcterms:W3CDTF">2024-04-02T15:26:44Z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4C0792A1ABBA47E4A55155433992C191_13</vt:lpwstr>
  </property>
</Properties>
</file>