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t>附件</w:t>
      </w:r>
      <w:r>
        <w:rPr>
          <w:rFonts w:hint="eastAsia"/>
        </w:rPr>
        <w:t>1</w:t>
      </w:r>
    </w:p>
    <w:p>
      <w:pPr>
        <w:pStyle w:val="3"/>
        <w:jc w:val="center"/>
      </w:pPr>
      <w:r>
        <w:rPr>
          <w:rFonts w:hint="eastAsia" w:ascii="Arial" w:hAnsi="Arial" w:eastAsia="黑体"/>
          <w:b/>
        </w:rPr>
        <w:t>四川省区域应急救援广元基地区域应急救援能力提升项目</w:t>
      </w:r>
      <w:r>
        <w:rPr>
          <w:rFonts w:hint="eastAsia"/>
        </w:rPr>
        <w:t>需求基本技术要求</w:t>
      </w:r>
      <w:bookmarkStart w:id="0" w:name="_GoBack"/>
      <w:bookmarkEnd w:id="0"/>
    </w:p>
    <w:tbl>
      <w:tblPr>
        <w:tblStyle w:val="9"/>
        <w:tblW w:w="813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695"/>
        <w:gridCol w:w="4992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装备名称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采购需求概况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移动工作站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各项配置高于或等于以下标准：CPU型号:Intel酷睿i710750HCPU主频:2.6GHz内存大小:8GB内存:2933Mhz。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无人机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运载无人机，载重30kg以上。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卫星地面接收站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需将现与四川省应急管理厅和应急管理部联通的动中通、静中通信号传回基地，并实现有效联通。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无人机指挥平台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与现有无人机有效整合。甲方现有无人机如下：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大疆无人机：御3行业版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惠明捷无人机：HMJ-00D6000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大疆系留无人机：经纬M300RTK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大疆专业型无人机：经纬M300RTK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彩虹系留无人机：CH-815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越野指挥车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适用山地越野。4×4越野底盘，国六排放标准，具有工信部公告。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便携式气体分析化验设备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能一次进样分析H2、O2、N2、CO、CO2、CH4、C2H6、C2H4、C2H2、C3H8、H2S等多种气体；单次检测时间≤110s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正压氧气呼吸器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防护时间≥4h，吸气中氧气（O2）浓度≥21%，吸气中二氧化碳（CO2）浓度≤2%。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正压氧气呼吸校验仪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与本次正</w:t>
            </w:r>
            <w:r>
              <w:rPr>
                <w:rFonts w:hint="eastAsia" w:ascii="等线" w:hAnsi="等线" w:eastAsia="等线" w:cs="宋体"/>
                <w:kern w:val="0"/>
                <w:sz w:val="20"/>
                <w:lang w:val="en-US" w:eastAsia="zh-CN"/>
              </w:rPr>
              <w:t>压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氧呼吸器配套。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2小时正压氧气呼吸器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额定时间：≥2h，定量供氧量≥1.4L/min。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氧气充填泵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工作压力：20MPa-30MPa；级数：≥2级。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移动应急电源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电池容量：≥1865Wh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AC输出功率：≥2200W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AC输出电压频率220Vac/50Hz。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综合救援个人防护套装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全套含头盔、护目镜、手套、作战靴、救援服、护膝护肘。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多人协同包含森林防灭火、水域、矿山、隧道等VR救援演练室，加考评系统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矿山救援VR演练与评价系统（软件）、配套VR硬件构成，分别通过普通PC主机、VR万向移动平台硬件设备、多体感模拟舱体，配合系统配套的软件设备实现救援队员多人协同在线救援演练。系统包含不少于5套VR万向行走平台+不少于1套多体感模拟舱体组网，可满足不少于6人戴着VR头盔，同时联网，进入三维场景，模拟一个救援小队完成井下救援训练。具有增持森林防灭火、水域救援训练模块，并且模拟灾情会随着时间和环境因素的变化而演变，最大程度贴近实战应用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智能仓储系统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用于装备物资储备库智能化管理，实时监控装备状态。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仓库面积约4000平方米，长84m，宽48m，层高9米。可在业主规定的时间范围内实地考察，根据业主需求和资金配套金额进行设计，可适当延期提交相关资料。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指挥帐篷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100平米以上，充气式帐篷，含办公桌椅。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保障帐篷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80平米以上，充气式帐篷，含办公桌椅及餐厅。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流动测震仪（救援现场地震报警系统）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主要用于监测余震，通过人工智能技术，自动识别地震波，无需连接预警中心，向救援人员提供余震报警服务。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泥沙泵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用于矿山透水、市政管道清理、河道疏通等抢险，排送含煤渣、泥沙、岩粉等渣浆类液体。输送介质最大浓度不小于40%、介质最大颗粒不小于50mm。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快速密闭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采用阻燃、防静电材料，且符合《煤矿井下用聚合物制品阻燃抗静电性通用实验方法和判定规则》（MT113-1995）要求。气囊式快速密闭，密闭面积15—18㎡。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快速成套支护设备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液压冲程升降，三叉式结构连接，可支撑高度范围1～4m；支撑长度范围10m以上。单根撑杆初撑力≥10t。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便捷式全能型电动破拆工具组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包含电池驱动泵、扩张器、剪断器、撑顶器、钢筋速断器、电动泵、电动切割锯、电动往复锯、电动混凝土切割锯、电动混凝土钻孔机、电动破碎镐等。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电磁抛投器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水陆两用，抛投距离≥100m。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摩托艇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增压4缸、4冲程、超涡轮高功率发动机并配备相应的拖架。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攀岩救生套件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含手式上升器、脚式上升器、手控下降器、胸式上升器、安全吊带、抓绳器、手套、绳套、单滑轮、双滑轮等不少于18件套。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远距离多功能救生杆组合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碳纤维杆，缩展≥15m，可漂浮在水面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水下生命探测仪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声波原理探测生成水底环境图像，由声呐传感器，地面工作站（包含软件），移动电源，防水能力：水下≥350m。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绳索救援系统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包括头盔、手套、头灯、全身式安全带、O型主锁、D型主锁、手式上升器、脚踏带、绳索单兵装备包、高效单滑轮等。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激流救生衣套装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救援浮力≥200N，并且在淡水浸泡 24h 后，浮力损失≤1%。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水上救援飞翼（电动遥控救生圈）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空载速度≥23km/h，载人速度（额定载重80kg）≥9km/h，遥控距离≥ 1400m，拖拽力≥ 330kg。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二级化学防化服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符合《消防员化学防护服装》标准,由化学防护头罩、化学防护服、化学防护靴、化学防护手套构成。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一级化学防化服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符合《消防员化学防护服装》标准，气密性防化服，由大视窗连体头罩、化学防护服、呼吸器背囊、防化靴、防化手套、排气阀、通风分气阀、外接气源接口等组成。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特级化学防化服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符合《消防员化学防护服装》标准，为内外两件式设计，外接隔热内件防化，由带大视窗的连体防化服、空气呼吸器背囊、化学防护靴、双层可拆卸式防化手套、超压排气阀、通风分配阀、外接气源接口等构成。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化学防护服气密检测仪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压力传感器量程±2000pa，压力测试精度±1%。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呼吸器配件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气囊接口密封圈50个、气囊5个、可充填清净罐密封圈50个、可充填清净罐罐口外框20个、可充填清净罐5个、过滤棉200块、电池座密封圈10个、排水阀30个、排水阀阀帽30个、方向阀外壳8个、自动补给阀（最小阀）（整体）4个、O2 G3/4 减压阀4个、手动补给阀（旁通阀)4个、定量供氧装置4个、弹簧支架5个、水冰降温盒外壳（整体）3个、呼吸软管5个、上盖铰链锁扣卡片20个、上盖铰链20个、下壳铰链锁扣卡片20个、下壳铰链20个。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院前急救套装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常规。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2小时氧气呼吸校验仪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与本次2小时氧气呼吸器配套。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余震监测仪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探测距离≥400米，形变测量精度≤0.1mm</w:t>
            </w:r>
            <w:r>
              <w:rPr>
                <w:rFonts w:hint="eastAsia" w:ascii="等线" w:hAnsi="等线" w:eastAsia="等线" w:cs="宋体"/>
                <w:kern w:val="0"/>
                <w:sz w:val="20"/>
                <w:lang w:eastAsia="zh-CN"/>
              </w:rPr>
              <w:t>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平板拖挂运输车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用于汽车清障、拖挂、装备运输。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自卸式消防车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自卸装置可以将车载装备自动卸下，按照业主需求定制集装箱4个。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运兵车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救援运兵车采用四驱驱动配置，11-13座；国六排放标准，具有工信部公告。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便携式升降器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可以同时承载2人及以上，与设备一起升降。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组合式救生担架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防锈轻量化设计，重量≤8kg；承重≥1100kg，可拆卸组合。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多用途救援支架系统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包括A型架，两脚架，三角架，四角架，支架支撑重量≥500Kg，中央螺栓承载重量≥350Kg，安全系数10:1。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大功能潜水泵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含便携式潜水泵7台，排水高压软管不低于1000米，管体与快速接头结合后的工作压力≧5.0MP，潜水电缆350米，启动控制柜7台。便携式潜水泵排水量不小于1000m³/h时，扬程≥1</w:t>
            </w:r>
            <w:r>
              <w:rPr>
                <w:rFonts w:hint="eastAsia" w:ascii="等线" w:hAnsi="等线" w:eastAsia="等线" w:cs="宋体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米。潜水深度≥10m，功率46KW。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起重支撑气垫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含10t、20t、30t、35t、40t起重气垫及附件，工作压力≥12bar。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多功能侦检仪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具备红外热成像、可见光成像、红外测温、红外测距、风速测量、气体检测多种功能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位移监测仪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位移探测距离≥110米（空旷地带），通讯距离应≥550米（空旷地带）。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便携式森林消防泵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整机可提可背；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启动方式为：电动和手动；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最大流量：≥5.5 L/s。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最大扬程：≥160米。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救援浮板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周围三面包裹柱状气囊设计，气囊采用2气室，带有2个充气阀门和2个自动泄压阀门。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惰气灭火装置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1.产惰泡量150～200m3/min；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2.惰气量400～500m3/min。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定向声波传输器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便携式，定向喊话疏散，工作距离≥700m。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声波/振动探测仪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控制终端可同时接入配备的≥10个无线微震传感器，系统具有相对定位功能。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电动无齿锯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切割机额定直流电压≥90V，最大切割深度≥145mm，锯片完全刹停时间小于0.5s。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潜水手持摄像系统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潜水摄像通讯系统。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水下声呐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前端最大探测距离≥60m，最大探测深度≥85m，最远探测距离≥160m。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放射性探测仪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测量射线种类：α 、β、X 和γ射线。</w:t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0"/>
              </w:rPr>
              <w:t>放射性探测仪量程范围：CsI(Tl)晶体：33keV～3.0MeV；GM管：30keV～3MeV；测量范围：剂量率：10nSv/h—10mSv/h, 累计剂量：1nSv ~ 99.99Sv。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0" w:line="240" w:lineRule="auto"/>
              <w:ind w:left="454" w:leftChars="0" w:hanging="284" w:firstLineChars="0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自携式潜水装具</w:t>
            </w:r>
          </w:p>
        </w:tc>
        <w:tc>
          <w:tcPr>
            <w:tcW w:w="499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含低压警报系统全面罩、减压器、平衡式供气阀、个人防护类潜水装具等，包含相应的潜水课程培训，培训合格后需颁发相关潜水培训证书。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</w:rPr>
              <w:t>　</w:t>
            </w:r>
          </w:p>
        </w:tc>
      </w:tr>
    </w:tbl>
    <w:p>
      <w:pPr>
        <w:pStyle w:val="8"/>
        <w:ind w:firstLine="0"/>
        <w:rPr>
          <w:rFonts w:ascii="仿宋" w:hAnsi="仿宋" w:eastAsia="仿宋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47A0B"/>
    <w:multiLevelType w:val="singleLevel"/>
    <w:tmpl w:val="30947A0B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28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MmE0NTE2ZWM5NDU1ZDNlMzFlODRiZmJiOWI1YTIifQ=="/>
  </w:docVars>
  <w:rsids>
    <w:rsidRoot w:val="004A5E06"/>
    <w:rsid w:val="00042496"/>
    <w:rsid w:val="004A5E06"/>
    <w:rsid w:val="004C3561"/>
    <w:rsid w:val="00FF3044"/>
    <w:rsid w:val="01CC7C92"/>
    <w:rsid w:val="01F14386"/>
    <w:rsid w:val="04390A7F"/>
    <w:rsid w:val="098826F0"/>
    <w:rsid w:val="0BEEB002"/>
    <w:rsid w:val="0DA548D8"/>
    <w:rsid w:val="0FBF9CD7"/>
    <w:rsid w:val="0FF3288D"/>
    <w:rsid w:val="12AD12DA"/>
    <w:rsid w:val="12BC5F96"/>
    <w:rsid w:val="163EF430"/>
    <w:rsid w:val="168A2E3A"/>
    <w:rsid w:val="16B51F50"/>
    <w:rsid w:val="17471E3D"/>
    <w:rsid w:val="17722860"/>
    <w:rsid w:val="1A846C18"/>
    <w:rsid w:val="1BD877B4"/>
    <w:rsid w:val="1BFCD92C"/>
    <w:rsid w:val="1F77555C"/>
    <w:rsid w:val="1FFFBE9A"/>
    <w:rsid w:val="20FA7D59"/>
    <w:rsid w:val="24957F99"/>
    <w:rsid w:val="2531256E"/>
    <w:rsid w:val="27BFF575"/>
    <w:rsid w:val="2BFED772"/>
    <w:rsid w:val="2D4744ED"/>
    <w:rsid w:val="2FBE480E"/>
    <w:rsid w:val="3264344B"/>
    <w:rsid w:val="32FDF3B5"/>
    <w:rsid w:val="37F7FAEA"/>
    <w:rsid w:val="38983E4E"/>
    <w:rsid w:val="3A2A5899"/>
    <w:rsid w:val="3B5A188F"/>
    <w:rsid w:val="3DF5229A"/>
    <w:rsid w:val="3F6C3258"/>
    <w:rsid w:val="40C563ED"/>
    <w:rsid w:val="496011AB"/>
    <w:rsid w:val="4A91694F"/>
    <w:rsid w:val="4B766A01"/>
    <w:rsid w:val="4C2818DA"/>
    <w:rsid w:val="4EF61477"/>
    <w:rsid w:val="4F2A7373"/>
    <w:rsid w:val="4FAD4B31"/>
    <w:rsid w:val="537FA442"/>
    <w:rsid w:val="555D3FFE"/>
    <w:rsid w:val="56E36FDB"/>
    <w:rsid w:val="5B7BA580"/>
    <w:rsid w:val="5BDF467D"/>
    <w:rsid w:val="5D367D81"/>
    <w:rsid w:val="5D7B9ACB"/>
    <w:rsid w:val="5D7C95E6"/>
    <w:rsid w:val="5DFB5B53"/>
    <w:rsid w:val="5F7DF70A"/>
    <w:rsid w:val="61565DA5"/>
    <w:rsid w:val="61C64CD9"/>
    <w:rsid w:val="642F0362"/>
    <w:rsid w:val="667016B7"/>
    <w:rsid w:val="6782E05D"/>
    <w:rsid w:val="67BFB5CE"/>
    <w:rsid w:val="68585A68"/>
    <w:rsid w:val="6FC667E3"/>
    <w:rsid w:val="70FC2E9F"/>
    <w:rsid w:val="71B071CB"/>
    <w:rsid w:val="724D64FF"/>
    <w:rsid w:val="72B25418"/>
    <w:rsid w:val="72E3C857"/>
    <w:rsid w:val="743ECD48"/>
    <w:rsid w:val="755FAA0D"/>
    <w:rsid w:val="77FB25FF"/>
    <w:rsid w:val="78D43D28"/>
    <w:rsid w:val="79C43D9C"/>
    <w:rsid w:val="79FB1598"/>
    <w:rsid w:val="7D4499CC"/>
    <w:rsid w:val="7D5E18BF"/>
    <w:rsid w:val="7D7F9F54"/>
    <w:rsid w:val="7E717FE1"/>
    <w:rsid w:val="7EEFE0CF"/>
    <w:rsid w:val="7F2F210E"/>
    <w:rsid w:val="7F5F8FB5"/>
    <w:rsid w:val="7F7ECF83"/>
    <w:rsid w:val="7FA74011"/>
    <w:rsid w:val="7FAEC4B6"/>
    <w:rsid w:val="7FBF4282"/>
    <w:rsid w:val="7FE1C8FA"/>
    <w:rsid w:val="7FF1ABCA"/>
    <w:rsid w:val="7FF34886"/>
    <w:rsid w:val="7FFB9A97"/>
    <w:rsid w:val="7FFF7067"/>
    <w:rsid w:val="9B1F32E4"/>
    <w:rsid w:val="9DF86E59"/>
    <w:rsid w:val="9E7DE07E"/>
    <w:rsid w:val="9F726DD8"/>
    <w:rsid w:val="A9F5D35E"/>
    <w:rsid w:val="AAA707D9"/>
    <w:rsid w:val="B7657AA0"/>
    <w:rsid w:val="B7F42FB9"/>
    <w:rsid w:val="BB7F1BA6"/>
    <w:rsid w:val="BBEFF57F"/>
    <w:rsid w:val="BBF6D3FD"/>
    <w:rsid w:val="BBFB3CD9"/>
    <w:rsid w:val="BC5B8C0A"/>
    <w:rsid w:val="BC5E701B"/>
    <w:rsid w:val="BC7C7A1E"/>
    <w:rsid w:val="BDE9331B"/>
    <w:rsid w:val="BDF6C2E3"/>
    <w:rsid w:val="BE9FE991"/>
    <w:rsid w:val="BFDDEE66"/>
    <w:rsid w:val="BFF7042C"/>
    <w:rsid w:val="CFB908B3"/>
    <w:rsid w:val="CFBBE956"/>
    <w:rsid w:val="CFEC7C91"/>
    <w:rsid w:val="D49F62EE"/>
    <w:rsid w:val="D6BB0296"/>
    <w:rsid w:val="D7DD3312"/>
    <w:rsid w:val="D8FC3E32"/>
    <w:rsid w:val="DCFF68D1"/>
    <w:rsid w:val="DD62CCFF"/>
    <w:rsid w:val="DF5D5752"/>
    <w:rsid w:val="DFCFD655"/>
    <w:rsid w:val="DFD6BC74"/>
    <w:rsid w:val="DFD7D845"/>
    <w:rsid w:val="E4BF70F7"/>
    <w:rsid w:val="E6F937BB"/>
    <w:rsid w:val="E6FD9DC8"/>
    <w:rsid w:val="EB6DEC93"/>
    <w:rsid w:val="EDCEACE1"/>
    <w:rsid w:val="EEFEB21C"/>
    <w:rsid w:val="F4BCF5E1"/>
    <w:rsid w:val="F5D3063B"/>
    <w:rsid w:val="F7BD6FDE"/>
    <w:rsid w:val="F7DE2AB8"/>
    <w:rsid w:val="F95F1CE1"/>
    <w:rsid w:val="FAFAFCDF"/>
    <w:rsid w:val="FBF6C9B4"/>
    <w:rsid w:val="FCDEDCB9"/>
    <w:rsid w:val="FD8BF5FC"/>
    <w:rsid w:val="FDEF9FAB"/>
    <w:rsid w:val="FDFC10CB"/>
    <w:rsid w:val="FE0758CC"/>
    <w:rsid w:val="FE2362E1"/>
    <w:rsid w:val="FEDC79BD"/>
    <w:rsid w:val="FEED113B"/>
    <w:rsid w:val="FEEF661D"/>
    <w:rsid w:val="FF5F5AB7"/>
    <w:rsid w:val="FF6FD134"/>
    <w:rsid w:val="FFA9C752"/>
    <w:rsid w:val="FFDE1347"/>
    <w:rsid w:val="FFEF8982"/>
    <w:rsid w:val="FFF5C4A0"/>
    <w:rsid w:val="FFFD510B"/>
    <w:rsid w:val="FFFD8FAD"/>
    <w:rsid w:val="FFFFB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ind w:firstLine="675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styleId="8">
    <w:name w:val="Body Text First Indent 2"/>
    <w:basedOn w:val="5"/>
    <w:semiHidden/>
    <w:qFormat/>
    <w:uiPriority w:val="99"/>
    <w:pPr>
      <w:ind w:firstLine="420"/>
    </w:pPr>
  </w:style>
  <w:style w:type="character" w:styleId="11">
    <w:name w:val="page number"/>
    <w:basedOn w:val="10"/>
    <w:qFormat/>
    <w:uiPriority w:val="0"/>
  </w:style>
  <w:style w:type="character" w:customStyle="1" w:styleId="12">
    <w:name w:val="font112"/>
    <w:basedOn w:val="10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10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0">
    <w:name w:val="font4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1">
    <w:name w:val="font6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2868</Words>
  <Characters>3259</Characters>
  <Lines>26</Lines>
  <Paragraphs>7</Paragraphs>
  <TotalTime>0</TotalTime>
  <ScaleCrop>false</ScaleCrop>
  <LinksUpToDate>false</LinksUpToDate>
  <CharactersWithSpaces>3306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2024-03-05T06:56:00Z</dcterms:created>
  <dc:creator>Lenovo</dc:creator>
  <cp:lastModifiedBy>老衲</cp:lastModifiedBy>
  <dcterms:modified xsi:type="dcterms:W3CDTF">2024-06-13T02:51:36Z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53F4F61D9D2343568D1D14A38DBB81D1_13</vt:lpwstr>
  </property>
</Properties>
</file>