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0F" w:rsidRPr="00E10494" w:rsidRDefault="009F170F" w:rsidP="00E10494">
      <w:pPr>
        <w:spacing w:line="576" w:lineRule="exact"/>
        <w:rPr>
          <w:rFonts w:ascii="黑体" w:eastAsia="黑体" w:hAnsi="黑体" w:cs="方正小标宋简体"/>
          <w:sz w:val="32"/>
          <w:szCs w:val="32"/>
        </w:rPr>
      </w:pPr>
      <w:r w:rsidRPr="00E10494">
        <w:rPr>
          <w:rFonts w:ascii="黑体" w:eastAsia="黑体" w:hAnsi="黑体" w:cs="方正小标宋简体" w:hint="eastAsia"/>
          <w:sz w:val="32"/>
          <w:szCs w:val="32"/>
        </w:rPr>
        <w:t>附件</w:t>
      </w:r>
      <w:r w:rsidRPr="00E10494">
        <w:rPr>
          <w:rFonts w:ascii="黑体" w:eastAsia="黑体" w:hAnsi="黑体" w:cs="方正小标宋简体"/>
          <w:sz w:val="32"/>
          <w:szCs w:val="32"/>
        </w:rPr>
        <w:t>2</w:t>
      </w:r>
    </w:p>
    <w:p w:rsidR="009F170F" w:rsidRDefault="009F170F">
      <w:pPr>
        <w:spacing w:line="576" w:lineRule="exact"/>
        <w:ind w:firstLineChars="100" w:firstLine="400"/>
        <w:jc w:val="center"/>
        <w:rPr>
          <w:rFonts w:ascii="方正小标宋简体" w:eastAsia="方正小标宋简体" w:hAnsi="宋体"/>
          <w:color w:val="000000"/>
          <w:kern w:val="0"/>
          <w:sz w:val="40"/>
          <w:szCs w:val="44"/>
        </w:rPr>
      </w:pPr>
    </w:p>
    <w:p w:rsidR="009F170F" w:rsidRDefault="009F170F" w:rsidP="00E10494">
      <w:pPr>
        <w:spacing w:line="576"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广元市应急管理局</w:t>
      </w:r>
    </w:p>
    <w:p w:rsidR="009F170F" w:rsidRPr="00094E46" w:rsidRDefault="009F170F" w:rsidP="00E10494">
      <w:pPr>
        <w:adjustRightInd w:val="0"/>
        <w:snapToGrid w:val="0"/>
        <w:spacing w:line="576" w:lineRule="exact"/>
        <w:jc w:val="center"/>
        <w:rPr>
          <w:rFonts w:ascii="方正小标宋简体" w:eastAsia="方正小标宋简体"/>
          <w:snapToGrid w:val="0"/>
          <w:kern w:val="0"/>
          <w:sz w:val="44"/>
          <w:szCs w:val="44"/>
        </w:rPr>
      </w:pPr>
      <w:r w:rsidRPr="00094E46">
        <w:rPr>
          <w:rFonts w:ascii="方正小标宋简体" w:eastAsia="方正小标宋简体"/>
          <w:snapToGrid w:val="0"/>
          <w:kern w:val="0"/>
          <w:sz w:val="44"/>
          <w:szCs w:val="44"/>
        </w:rPr>
        <w:t>20</w:t>
      </w:r>
      <w:r>
        <w:rPr>
          <w:rFonts w:ascii="方正小标宋简体" w:eastAsia="方正小标宋简体"/>
          <w:snapToGrid w:val="0"/>
          <w:kern w:val="0"/>
          <w:sz w:val="44"/>
          <w:szCs w:val="44"/>
        </w:rPr>
        <w:t>22</w:t>
      </w:r>
      <w:bookmarkStart w:id="0" w:name="_GoBack"/>
      <w:bookmarkEnd w:id="0"/>
      <w:r w:rsidRPr="00094E46">
        <w:rPr>
          <w:rFonts w:ascii="方正小标宋简体" w:eastAsia="方正小标宋简体" w:hint="eastAsia"/>
          <w:snapToGrid w:val="0"/>
          <w:kern w:val="0"/>
          <w:sz w:val="44"/>
          <w:szCs w:val="44"/>
        </w:rPr>
        <w:t>年部门支出绩效评价自</w:t>
      </w:r>
      <w:r>
        <w:rPr>
          <w:rFonts w:ascii="方正小标宋简体" w:eastAsia="方正小标宋简体" w:hint="eastAsia"/>
          <w:snapToGrid w:val="0"/>
          <w:kern w:val="0"/>
          <w:sz w:val="44"/>
          <w:szCs w:val="44"/>
        </w:rPr>
        <w:t>评</w:t>
      </w:r>
      <w:r w:rsidRPr="00094E46">
        <w:rPr>
          <w:rFonts w:ascii="方正小标宋简体" w:eastAsia="方正小标宋简体" w:hint="eastAsia"/>
          <w:snapToGrid w:val="0"/>
          <w:kern w:val="0"/>
          <w:sz w:val="44"/>
          <w:szCs w:val="44"/>
        </w:rPr>
        <w:t>报告</w:t>
      </w:r>
    </w:p>
    <w:p w:rsidR="009F170F" w:rsidRPr="00EC7DB7" w:rsidRDefault="009F170F">
      <w:pPr>
        <w:widowControl/>
        <w:adjustRightInd w:val="0"/>
        <w:snapToGrid w:val="0"/>
        <w:spacing w:line="576" w:lineRule="exact"/>
        <w:contextualSpacing/>
        <w:jc w:val="left"/>
        <w:rPr>
          <w:rFonts w:ascii="仿宋_GB2312" w:eastAsia="仿宋_GB2312" w:hAnsi="仿宋_GB2312" w:cs="仿宋_GB2312"/>
          <w:color w:val="000000"/>
          <w:kern w:val="0"/>
          <w:sz w:val="32"/>
          <w:szCs w:val="32"/>
          <w:shd w:val="clear" w:color="auto" w:fill="FFFFFF"/>
        </w:rPr>
      </w:pPr>
    </w:p>
    <w:p w:rsidR="009F170F" w:rsidRPr="00676B90" w:rsidRDefault="009F170F">
      <w:pPr>
        <w:widowControl/>
        <w:adjustRightInd w:val="0"/>
        <w:snapToGrid w:val="0"/>
        <w:spacing w:line="576" w:lineRule="exact"/>
        <w:ind w:firstLineChars="200" w:firstLine="640"/>
        <w:contextualSpacing/>
        <w:jc w:val="left"/>
        <w:rPr>
          <w:rFonts w:ascii="黑体" w:eastAsia="黑体" w:hAnsi="黑体" w:cs="仿宋_GB2312"/>
          <w:color w:val="000000"/>
          <w:kern w:val="0"/>
          <w:sz w:val="32"/>
          <w:szCs w:val="32"/>
        </w:rPr>
      </w:pPr>
      <w:r w:rsidRPr="00676B90">
        <w:rPr>
          <w:rFonts w:ascii="黑体" w:eastAsia="黑体" w:hAnsi="黑体" w:cs="仿宋_GB2312" w:hint="eastAsia"/>
          <w:color w:val="000000"/>
          <w:kern w:val="0"/>
          <w:sz w:val="32"/>
          <w:szCs w:val="32"/>
        </w:rPr>
        <w:t>一、部门（单位）概况</w:t>
      </w:r>
    </w:p>
    <w:p w:rsidR="009F170F" w:rsidRPr="00E10494" w:rsidRDefault="009F170F">
      <w:pPr>
        <w:widowControl/>
        <w:adjustRightInd w:val="0"/>
        <w:snapToGrid w:val="0"/>
        <w:spacing w:line="576" w:lineRule="exact"/>
        <w:ind w:firstLineChars="200" w:firstLine="640"/>
        <w:contextualSpacing/>
        <w:jc w:val="left"/>
        <w:rPr>
          <w:rFonts w:ascii="楷体_GB2312" w:eastAsia="楷体_GB2312" w:hAnsi="仿宋_GB2312" w:cs="仿宋_GB2312"/>
          <w:color w:val="000000"/>
          <w:kern w:val="0"/>
          <w:sz w:val="32"/>
          <w:szCs w:val="32"/>
        </w:rPr>
      </w:pPr>
      <w:r w:rsidRPr="00E10494">
        <w:rPr>
          <w:rFonts w:ascii="楷体_GB2312" w:eastAsia="楷体_GB2312" w:hAnsi="仿宋_GB2312" w:cs="仿宋_GB2312" w:hint="eastAsia"/>
          <w:color w:val="000000"/>
          <w:kern w:val="0"/>
          <w:sz w:val="32"/>
          <w:szCs w:val="32"/>
        </w:rPr>
        <w:t>（一）机构组成</w:t>
      </w:r>
    </w:p>
    <w:p w:rsidR="009F170F" w:rsidRDefault="009F170F">
      <w:pPr>
        <w:widowControl/>
        <w:adjustRightInd w:val="0"/>
        <w:snapToGrid w:val="0"/>
        <w:spacing w:line="576" w:lineRule="exact"/>
        <w:ind w:firstLineChars="200" w:firstLine="640"/>
        <w:contextualSpacing/>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市应急管理局下属二级预算单位</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个，具体为：广元市安全生产应急和信息中心、广元市减灾事务中心、广元市应急保障中心、广元市防震减灾服务中心、广元市生产安全应急救援支队、广元市矿山安全培训中心。</w:t>
      </w:r>
    </w:p>
    <w:p w:rsidR="009F170F" w:rsidRDefault="009F170F">
      <w:pPr>
        <w:widowControl/>
        <w:adjustRightInd w:val="0"/>
        <w:snapToGrid w:val="0"/>
        <w:spacing w:line="576"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（二）机构职能</w:t>
      </w:r>
    </w:p>
    <w:p w:rsidR="009F170F" w:rsidRDefault="009F170F" w:rsidP="00952858">
      <w:pPr>
        <w:pStyle w:val="a"/>
        <w:spacing w:line="576" w:lineRule="exact"/>
        <w:ind w:firstLine="640"/>
        <w:rPr>
          <w:rFonts w:ascii="仿宋_GB2312" w:cs="仿宋_GB2312"/>
          <w:color w:val="000000"/>
          <w:szCs w:val="32"/>
        </w:rPr>
      </w:pPr>
      <w:r>
        <w:rPr>
          <w:rFonts w:ascii="仿宋_GB2312" w:hAnsi="仿宋_GB2312" w:cs="仿宋_GB2312"/>
          <w:color w:val="000000"/>
          <w:szCs w:val="32"/>
        </w:rPr>
        <w:t>1</w:t>
      </w:r>
      <w:r>
        <w:rPr>
          <w:rFonts w:ascii="仿宋_GB2312" w:cs="仿宋_GB2312"/>
          <w:color w:val="000000"/>
          <w:szCs w:val="32"/>
        </w:rPr>
        <w:t>.</w:t>
      </w:r>
      <w:r>
        <w:rPr>
          <w:rFonts w:ascii="仿宋_GB2312" w:hAnsi="仿宋_GB2312" w:cs="仿宋_GB2312" w:hint="eastAsia"/>
          <w:color w:val="000000"/>
          <w:szCs w:val="32"/>
        </w:rPr>
        <w:t>负责应急管理工作，组织和指导各县区、市级各部门应对安全生产类、自然灾害类等突发事件和综合防灾减灾救灾工作。负责安全生产综合监督管理和工矿商贸、煤炭行业安全生产监督管理工作。</w:t>
      </w:r>
    </w:p>
    <w:p w:rsidR="009F170F" w:rsidRDefault="009F170F" w:rsidP="00952858">
      <w:pPr>
        <w:pStyle w:val="a"/>
        <w:spacing w:line="576" w:lineRule="exact"/>
        <w:ind w:firstLine="640"/>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2</w:t>
      </w:r>
      <w:r>
        <w:rPr>
          <w:rFonts w:ascii="仿宋_GB2312" w:hAnsi="仿宋_GB2312" w:cs="仿宋_GB2312" w:hint="eastAsia"/>
          <w:color w:val="000000"/>
          <w:szCs w:val="32"/>
        </w:rPr>
        <w:t>）拟订应急管理、安全生产等政策措施，组织编制应急体系建设、安全生产和综合防灾减灾规划，起草相关地方性法规、规章草案。</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3</w:t>
      </w:r>
      <w:r>
        <w:rPr>
          <w:rFonts w:ascii="仿宋_GB2312" w:hAnsi="仿宋_GB2312" w:cs="仿宋_GB2312" w:hint="eastAsia"/>
          <w:color w:val="000000"/>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4</w:t>
      </w:r>
      <w:r>
        <w:rPr>
          <w:rFonts w:ascii="仿宋_GB2312" w:hAnsi="仿宋_GB2312" w:cs="仿宋_GB2312" w:hint="eastAsia"/>
          <w:color w:val="000000"/>
          <w:szCs w:val="32"/>
        </w:rPr>
        <w:t>）牵头建立统一的应急管理信息系统，负责信息传输渠道的规划和布局，建立监测预警和灾情报告制度，健全自然灾害信息资源获取和共享机制，依法统一发布灾情。</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5</w:t>
      </w:r>
      <w:r>
        <w:rPr>
          <w:rFonts w:ascii="仿宋_GB2312" w:hAnsi="仿宋_GB2312" w:cs="仿宋_GB2312" w:hint="eastAsia"/>
          <w:color w:val="000000"/>
          <w:szCs w:val="32"/>
        </w:rPr>
        <w:t>）负责组织、指导、协调安全生产类、自然灾害类等突发事件应急救援，承担全市应对较大及以上灾害指挥部工作，综合研判突发事件发展态势并提出应对建议，负责组织较大及以上灾害应急处置工作。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6</w:t>
      </w:r>
      <w:r>
        <w:rPr>
          <w:rFonts w:ascii="仿宋_GB2312" w:hAnsi="仿宋_GB2312" w:cs="仿宋_GB2312" w:hint="eastAsia"/>
          <w:color w:val="000000"/>
          <w:szCs w:val="32"/>
        </w:rPr>
        <w:t>）统一协调指挥各类应急专业队伍，建立应急协调联动机制，推进指挥平台对接，提请衔接解放军和武警部队参与应急救援工作。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7</w:t>
      </w:r>
      <w:r>
        <w:rPr>
          <w:rFonts w:ascii="仿宋_GB2312" w:hAnsi="仿宋_GB2312" w:cs="仿宋_GB2312" w:hint="eastAsia"/>
          <w:color w:val="000000"/>
          <w:szCs w:val="32"/>
        </w:rPr>
        <w:t>）按照国家、省相关政策和规定负责消防、森林火灾扑救、抗洪抢险、地震和地质灾害救援、生产安全事故救援等专业应急救援力量建设，依法依规统筹指导各县区及社会应急救援力量和应急保障能力建设。</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8</w:t>
      </w:r>
      <w:r>
        <w:rPr>
          <w:rFonts w:ascii="仿宋_GB2312" w:hAnsi="仿宋_GB2312" w:cs="仿宋_GB2312" w:hint="eastAsia"/>
          <w:color w:val="000000"/>
          <w:szCs w:val="32"/>
        </w:rPr>
        <w:t>）按照国家相关政策和省、市相关规定负责消防工作，组织和指导消防监督、火灾预防、火灾扑救等工作。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9</w:t>
      </w:r>
      <w:r>
        <w:rPr>
          <w:rFonts w:ascii="仿宋_GB2312" w:hAnsi="仿宋_GB2312" w:cs="仿宋_GB2312" w:hint="eastAsia"/>
          <w:color w:val="000000"/>
          <w:szCs w:val="32"/>
        </w:rPr>
        <w:t>）负责自然灾害综合监测预警工作，承担自然灾害综合风险评估工作。指导协调森林火灾、水旱灾害、地质灾害等防治工作。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10</w:t>
      </w:r>
      <w:r>
        <w:rPr>
          <w:rFonts w:ascii="仿宋_GB2312" w:hAnsi="仿宋_GB2312" w:cs="仿宋_GB2312" w:hint="eastAsia"/>
          <w:color w:val="000000"/>
          <w:szCs w:val="32"/>
        </w:rPr>
        <w:t>）负责组织、协调灾害救助工作，组织和指导灾情核查、损失评估、救灾捐赠工作，管理、分配中央、省级下拨及市级救灾款物并监督使用。</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11</w:t>
      </w:r>
      <w:r>
        <w:rPr>
          <w:rFonts w:ascii="仿宋_GB2312" w:hAnsi="仿宋_GB2312" w:cs="仿宋_GB2312" w:hint="eastAsia"/>
          <w:color w:val="000000"/>
          <w:szCs w:val="32"/>
        </w:rPr>
        <w:t>）依法承担市政府安全生产综合监督管理责任，指导协调、监督检查各县区政府和市级有关部门安全生产工作，组织开展安全生产巡查、考核工作。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12</w:t>
      </w:r>
      <w:r>
        <w:rPr>
          <w:rFonts w:ascii="仿宋_GB2312" w:hAnsi="仿宋_GB2312" w:cs="仿宋_GB2312" w:hint="eastAsia"/>
          <w:color w:val="000000"/>
          <w:szCs w:val="32"/>
        </w:rPr>
        <w:t>）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13</w:t>
      </w:r>
      <w:r>
        <w:rPr>
          <w:rFonts w:ascii="仿宋_GB2312" w:hAnsi="仿宋_GB2312" w:cs="仿宋_GB2312" w:hint="eastAsia"/>
          <w:color w:val="000000"/>
          <w:szCs w:val="32"/>
        </w:rPr>
        <w:t>）承担煤矿、非煤矿山、危险化学品和烟花爆竹等生</w:t>
      </w:r>
      <w:r>
        <w:rPr>
          <w:rFonts w:ascii="仿宋_GB2312" w:hAnsi="仿宋_GB2312" w:cs="仿宋_GB2312" w:hint="eastAsia"/>
          <w:color w:val="000000"/>
          <w:spacing w:val="-6"/>
          <w:szCs w:val="32"/>
        </w:rPr>
        <w:t>产经营单位安全生产准入及非药品类易制毒化学品备案管理责任。</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14</w:t>
      </w:r>
      <w:r>
        <w:rPr>
          <w:rFonts w:ascii="仿宋_GB2312" w:hAnsi="仿宋_GB2312" w:cs="仿宋_GB2312" w:hint="eastAsia"/>
          <w:color w:val="000000"/>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15</w:t>
      </w:r>
      <w:r>
        <w:rPr>
          <w:rFonts w:ascii="仿宋_GB2312" w:hAnsi="仿宋_GB2312" w:cs="仿宋_GB2312" w:hint="eastAsia"/>
          <w:color w:val="000000"/>
          <w:szCs w:val="32"/>
        </w:rPr>
        <w:t>）承担煤矿安全生产监督管理责任，依法监督检查煤矿企业贯彻执行安全生产法律法规情况及其安全生产条件和有关设备（特种设备除外）、材料、劳动防护用品的安全生产管理工作</w:t>
      </w:r>
      <w:r w:rsidRPr="00952858">
        <w:rPr>
          <w:rFonts w:ascii="仿宋_GB2312" w:hAnsi="仿宋_GB2312" w:cs="仿宋_GB2312" w:hint="eastAsia"/>
          <w:color w:val="000000"/>
          <w:spacing w:val="-6"/>
          <w:szCs w:val="32"/>
        </w:rPr>
        <w:t>。负责组织、指导煤矿企业安全专项整治、安全标准化、瓦斯和水害防治及相关安全科技发展工作。参与煤矿事故调查处理工作</w:t>
      </w:r>
      <w:r>
        <w:rPr>
          <w:rFonts w:ascii="仿宋_GB2312" w:hAnsi="仿宋_GB2312" w:cs="仿宋_GB2312" w:hint="eastAsia"/>
          <w:color w:val="000000"/>
          <w:szCs w:val="32"/>
        </w:rPr>
        <w:t>。</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16</w:t>
      </w:r>
      <w:r>
        <w:rPr>
          <w:rFonts w:ascii="仿宋_GB2312" w:hAnsi="仿宋_GB2312" w:cs="仿宋_GB2312" w:hint="eastAsia"/>
          <w:color w:val="000000"/>
          <w:szCs w:val="32"/>
        </w:rPr>
        <w:t>）承担防震减灾工作职责。负责地震监测设施和观测环境保护工作，负责全市工程建设场地地震安全性评价的监督管理工作，承担全市重大工程的抗震设防监督工作。接受省地震局的业务指导。</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17</w:t>
      </w:r>
      <w:r>
        <w:rPr>
          <w:rFonts w:ascii="仿宋_GB2312" w:hAnsi="仿宋_GB2312" w:cs="仿宋_GB2312" w:hint="eastAsia"/>
          <w:color w:val="000000"/>
          <w:szCs w:val="32"/>
        </w:rPr>
        <w:t>）依法组织、指导生产安全事故调查处理，监督事故查处和责任追究落实情况。组织开展自然灾害类突发事件的调查评估工作。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18</w:t>
      </w:r>
      <w:r>
        <w:rPr>
          <w:rFonts w:ascii="仿宋_GB2312" w:hAnsi="仿宋_GB2312" w:cs="仿宋_GB2312" w:hint="eastAsia"/>
          <w:color w:val="000000"/>
          <w:szCs w:val="32"/>
        </w:rPr>
        <w:t>）开展应急管理和安全生产方面的交流与合作，组织参与安全生产类、自然灾害类等突发事件的跨区域救援工作。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19</w:t>
      </w:r>
      <w:r>
        <w:rPr>
          <w:rFonts w:ascii="仿宋_GB2312" w:hAnsi="仿宋_GB2312" w:cs="仿宋_GB2312" w:hint="eastAsia"/>
          <w:color w:val="000000"/>
          <w:szCs w:val="32"/>
        </w:rPr>
        <w:t>）制定应急物资储备和应急救援装备规划并组织实施，会同市发展改革委等部门建立健全应急物资信息平台和调拨制度，在救灾时统一调度。</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20</w:t>
      </w:r>
      <w:r>
        <w:rPr>
          <w:rFonts w:ascii="仿宋_GB2312" w:hAnsi="仿宋_GB2312" w:cs="仿宋_GB2312" w:hint="eastAsia"/>
          <w:color w:val="000000"/>
          <w:szCs w:val="32"/>
        </w:rPr>
        <w:t>）负责应急管理、安全生产宣传教育和培训工作，组织和指导应急管理、安全生产的科学技术研究、推广应用和信息化建设工作。</w:t>
      </w:r>
    </w:p>
    <w:p w:rsidR="009F170F" w:rsidRDefault="009F170F">
      <w:pPr>
        <w:pStyle w:val="a"/>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w:t>
      </w:r>
      <w:r>
        <w:rPr>
          <w:rFonts w:ascii="仿宋_GB2312" w:hAnsi="仿宋_GB2312" w:cs="仿宋_GB2312"/>
          <w:color w:val="000000"/>
          <w:szCs w:val="32"/>
        </w:rPr>
        <w:t>21</w:t>
      </w:r>
      <w:r>
        <w:rPr>
          <w:rFonts w:ascii="仿宋_GB2312" w:hAnsi="仿宋_GB2312" w:cs="仿宋_GB2312" w:hint="eastAsia"/>
          <w:color w:val="000000"/>
          <w:szCs w:val="32"/>
        </w:rPr>
        <w:t>）负责职责范围内的职业健康、生态环境保护、审批服务便民化等工作。</w:t>
      </w:r>
    </w:p>
    <w:p w:rsidR="009F170F" w:rsidRDefault="009F170F">
      <w:pPr>
        <w:widowControl/>
        <w:spacing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22</w:t>
      </w:r>
      <w:r>
        <w:rPr>
          <w:rFonts w:ascii="仿宋_GB2312" w:eastAsia="仿宋_GB2312" w:hAnsi="仿宋_GB2312" w:cs="仿宋_GB2312" w:hint="eastAsia"/>
          <w:color w:val="000000"/>
          <w:sz w:val="32"/>
          <w:szCs w:val="32"/>
        </w:rPr>
        <w:t>）完成市委、市政府交办的其他任务。</w:t>
      </w:r>
    </w:p>
    <w:p w:rsidR="009F170F" w:rsidRDefault="009F170F">
      <w:pPr>
        <w:widowControl/>
        <w:adjustRightInd w:val="0"/>
        <w:snapToGrid w:val="0"/>
        <w:spacing w:line="576"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（三）人员概况</w:t>
      </w:r>
    </w:p>
    <w:p w:rsidR="009F170F" w:rsidRDefault="009F170F" w:rsidP="00E10494">
      <w:pPr>
        <w:pStyle w:val="a"/>
        <w:spacing w:line="576" w:lineRule="exact"/>
        <w:ind w:firstLine="640"/>
        <w:rPr>
          <w:rFonts w:ascii="仿宋_GB2312" w:cs="仿宋_GB2312"/>
          <w:snapToGrid w:val="0"/>
          <w:szCs w:val="32"/>
        </w:rPr>
      </w:pPr>
      <w:r>
        <w:rPr>
          <w:rFonts w:ascii="仿宋_GB2312" w:hAnsi="仿宋_GB2312" w:cs="仿宋_GB2312" w:hint="eastAsia"/>
          <w:snapToGrid w:val="0"/>
          <w:szCs w:val="32"/>
        </w:rPr>
        <w:t>应急系统现有编制</w:t>
      </w:r>
      <w:r>
        <w:rPr>
          <w:rFonts w:ascii="仿宋_GB2312" w:hAnsi="仿宋_GB2312" w:cs="仿宋_GB2312"/>
          <w:snapToGrid w:val="0"/>
          <w:szCs w:val="32"/>
        </w:rPr>
        <w:t>158</w:t>
      </w:r>
      <w:r>
        <w:rPr>
          <w:rFonts w:ascii="仿宋_GB2312" w:hAnsi="仿宋_GB2312" w:cs="仿宋_GB2312" w:hint="eastAsia"/>
          <w:snapToGrid w:val="0"/>
          <w:szCs w:val="32"/>
        </w:rPr>
        <w:t>个，其中：机关编制</w:t>
      </w:r>
      <w:r>
        <w:rPr>
          <w:rFonts w:ascii="仿宋_GB2312" w:hAnsi="仿宋_GB2312" w:cs="仿宋_GB2312"/>
          <w:snapToGrid w:val="0"/>
          <w:szCs w:val="32"/>
        </w:rPr>
        <w:t>37</w:t>
      </w:r>
      <w:r>
        <w:rPr>
          <w:rFonts w:ascii="仿宋_GB2312" w:hAnsi="仿宋_GB2312" w:cs="仿宋_GB2312" w:hint="eastAsia"/>
          <w:snapToGrid w:val="0"/>
          <w:szCs w:val="32"/>
        </w:rPr>
        <w:t>个，机关工勤</w:t>
      </w:r>
      <w:r>
        <w:rPr>
          <w:rFonts w:ascii="仿宋_GB2312" w:hAnsi="仿宋_GB2312" w:cs="仿宋_GB2312"/>
          <w:snapToGrid w:val="0"/>
          <w:szCs w:val="32"/>
        </w:rPr>
        <w:t>6</w:t>
      </w:r>
      <w:r>
        <w:rPr>
          <w:rFonts w:ascii="仿宋_GB2312" w:hAnsi="仿宋_GB2312" w:cs="仿宋_GB2312" w:hint="eastAsia"/>
          <w:snapToGrid w:val="0"/>
          <w:szCs w:val="32"/>
        </w:rPr>
        <w:t>个，参公管理编制</w:t>
      </w:r>
      <w:r>
        <w:rPr>
          <w:rFonts w:ascii="仿宋_GB2312" w:hAnsi="仿宋_GB2312" w:cs="仿宋_GB2312"/>
          <w:snapToGrid w:val="0"/>
          <w:szCs w:val="32"/>
        </w:rPr>
        <w:t>29</w:t>
      </w:r>
      <w:r>
        <w:rPr>
          <w:rFonts w:ascii="仿宋_GB2312" w:hAnsi="仿宋_GB2312" w:cs="仿宋_GB2312" w:hint="eastAsia"/>
          <w:snapToGrid w:val="0"/>
          <w:szCs w:val="32"/>
        </w:rPr>
        <w:t>个、事业编制</w:t>
      </w:r>
      <w:r>
        <w:rPr>
          <w:rFonts w:ascii="仿宋_GB2312" w:hAnsi="仿宋_GB2312" w:cs="仿宋_GB2312"/>
          <w:snapToGrid w:val="0"/>
          <w:szCs w:val="32"/>
        </w:rPr>
        <w:t>86</w:t>
      </w:r>
      <w:r>
        <w:rPr>
          <w:rFonts w:ascii="仿宋_GB2312" w:hAnsi="仿宋_GB2312" w:cs="仿宋_GB2312" w:hint="eastAsia"/>
          <w:snapToGrid w:val="0"/>
          <w:szCs w:val="32"/>
        </w:rPr>
        <w:t>个。共有在职人员</w:t>
      </w:r>
      <w:r>
        <w:rPr>
          <w:rFonts w:ascii="仿宋_GB2312" w:hAnsi="仿宋_GB2312" w:cs="仿宋_GB2312"/>
          <w:snapToGrid w:val="0"/>
          <w:szCs w:val="32"/>
        </w:rPr>
        <w:t>140</w:t>
      </w:r>
      <w:r>
        <w:rPr>
          <w:rFonts w:ascii="仿宋_GB2312" w:hAnsi="仿宋_GB2312" w:cs="仿宋_GB2312" w:hint="eastAsia"/>
          <w:snapToGrid w:val="0"/>
          <w:szCs w:val="32"/>
        </w:rPr>
        <w:t>人，其中：局机关实有公务员</w:t>
      </w:r>
      <w:r>
        <w:rPr>
          <w:rFonts w:ascii="仿宋_GB2312" w:hAnsi="仿宋_GB2312" w:cs="仿宋_GB2312"/>
          <w:snapToGrid w:val="0"/>
          <w:szCs w:val="32"/>
        </w:rPr>
        <w:t>37</w:t>
      </w:r>
      <w:r>
        <w:rPr>
          <w:rFonts w:ascii="仿宋_GB2312" w:hAnsi="仿宋_GB2312" w:cs="仿宋_GB2312" w:hint="eastAsia"/>
          <w:snapToGrid w:val="0"/>
          <w:szCs w:val="32"/>
        </w:rPr>
        <w:t>人、机关工勤</w:t>
      </w:r>
      <w:r>
        <w:rPr>
          <w:rFonts w:ascii="仿宋_GB2312" w:hAnsi="仿宋_GB2312" w:cs="仿宋_GB2312"/>
          <w:snapToGrid w:val="0"/>
          <w:szCs w:val="32"/>
        </w:rPr>
        <w:t>6</w:t>
      </w:r>
      <w:r>
        <w:rPr>
          <w:rFonts w:ascii="仿宋_GB2312" w:hAnsi="仿宋_GB2312" w:cs="仿宋_GB2312" w:hint="eastAsia"/>
          <w:snapToGrid w:val="0"/>
          <w:szCs w:val="32"/>
        </w:rPr>
        <w:t>人，参公管理的事业人员</w:t>
      </w:r>
      <w:r>
        <w:rPr>
          <w:rFonts w:ascii="仿宋_GB2312" w:hAnsi="仿宋_GB2312" w:cs="仿宋_GB2312"/>
          <w:snapToGrid w:val="0"/>
          <w:szCs w:val="32"/>
        </w:rPr>
        <w:t>20</w:t>
      </w:r>
      <w:r>
        <w:rPr>
          <w:rFonts w:ascii="仿宋_GB2312" w:hAnsi="仿宋_GB2312" w:cs="仿宋_GB2312" w:hint="eastAsia"/>
          <w:snapToGrid w:val="0"/>
          <w:szCs w:val="32"/>
        </w:rPr>
        <w:t>人，参公事业工勤</w:t>
      </w:r>
      <w:r>
        <w:rPr>
          <w:rFonts w:ascii="仿宋_GB2312" w:hAnsi="仿宋_GB2312" w:cs="仿宋_GB2312"/>
          <w:snapToGrid w:val="0"/>
          <w:szCs w:val="32"/>
        </w:rPr>
        <w:t>4</w:t>
      </w:r>
      <w:r>
        <w:rPr>
          <w:rFonts w:ascii="仿宋_GB2312" w:hAnsi="仿宋_GB2312" w:cs="仿宋_GB2312" w:hint="eastAsia"/>
          <w:snapToGrid w:val="0"/>
          <w:szCs w:val="32"/>
        </w:rPr>
        <w:t>人，其他事业人员</w:t>
      </w:r>
      <w:r>
        <w:rPr>
          <w:rFonts w:ascii="仿宋_GB2312" w:hAnsi="仿宋_GB2312" w:cs="仿宋_GB2312"/>
          <w:snapToGrid w:val="0"/>
          <w:szCs w:val="32"/>
        </w:rPr>
        <w:t>73</w:t>
      </w:r>
      <w:r>
        <w:rPr>
          <w:rFonts w:ascii="仿宋_GB2312" w:hAnsi="仿宋_GB2312" w:cs="仿宋_GB2312" w:hint="eastAsia"/>
          <w:snapToGrid w:val="0"/>
          <w:szCs w:val="32"/>
        </w:rPr>
        <w:t>人。</w:t>
      </w:r>
    </w:p>
    <w:p w:rsidR="009F170F" w:rsidRDefault="009F170F">
      <w:pPr>
        <w:widowControl/>
        <w:adjustRightInd w:val="0"/>
        <w:snapToGrid w:val="0"/>
        <w:spacing w:line="576" w:lineRule="exact"/>
        <w:ind w:firstLineChars="200" w:firstLine="640"/>
        <w:contextualSpacing/>
        <w:jc w:val="lef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二、部门财政资金收支情况</w:t>
      </w:r>
    </w:p>
    <w:p w:rsidR="009F170F" w:rsidRPr="003F33CB" w:rsidRDefault="009F170F" w:rsidP="003F33CB">
      <w:pPr>
        <w:adjustRightInd w:val="0"/>
        <w:snapToGrid w:val="0"/>
        <w:spacing w:line="576" w:lineRule="exact"/>
        <w:ind w:firstLineChars="200" w:firstLine="640"/>
        <w:rPr>
          <w:rFonts w:ascii="楷体_GB2312" w:eastAsia="楷体_GB2312" w:hAnsi="楷体_GB2312" w:cs="楷体_GB2312"/>
          <w:snapToGrid w:val="0"/>
          <w:kern w:val="0"/>
          <w:sz w:val="32"/>
          <w:szCs w:val="32"/>
        </w:rPr>
      </w:pPr>
      <w:r w:rsidRPr="003F33CB">
        <w:rPr>
          <w:rFonts w:ascii="楷体_GB2312" w:eastAsia="楷体_GB2312" w:hAnsi="楷体_GB2312" w:cs="楷体_GB2312" w:hint="eastAsia"/>
          <w:snapToGrid w:val="0"/>
          <w:kern w:val="0"/>
          <w:sz w:val="32"/>
          <w:szCs w:val="32"/>
        </w:rPr>
        <w:t>（一）部门财政资金收入情况</w:t>
      </w:r>
    </w:p>
    <w:p w:rsidR="009F170F" w:rsidRPr="003F33CB" w:rsidRDefault="009F170F" w:rsidP="003F33CB">
      <w:pPr>
        <w:spacing w:line="360" w:lineRule="auto"/>
        <w:ind w:firstLineChars="200" w:firstLine="640"/>
        <w:outlineLvl w:val="1"/>
        <w:rPr>
          <w:rFonts w:ascii="仿宋_GB2312" w:eastAsia="仿宋_GB2312" w:hAnsi="仿宋_GB2312" w:cs="仿宋_GB2312"/>
          <w:snapToGrid w:val="0"/>
          <w:kern w:val="0"/>
          <w:sz w:val="32"/>
          <w:szCs w:val="32"/>
        </w:rPr>
      </w:pPr>
      <w:r w:rsidRPr="003F33CB">
        <w:rPr>
          <w:rFonts w:ascii="仿宋_GB2312" w:eastAsia="仿宋_GB2312" w:hAnsi="仿宋_GB2312" w:cs="仿宋_GB2312"/>
          <w:snapToGrid w:val="0"/>
          <w:kern w:val="0"/>
          <w:sz w:val="32"/>
          <w:szCs w:val="32"/>
        </w:rPr>
        <w:t>2021</w:t>
      </w:r>
      <w:r w:rsidRPr="003F33CB">
        <w:rPr>
          <w:rFonts w:ascii="仿宋_GB2312" w:eastAsia="仿宋_GB2312" w:hAnsi="仿宋_GB2312" w:cs="仿宋_GB2312" w:hint="eastAsia"/>
          <w:snapToGrid w:val="0"/>
          <w:kern w:val="0"/>
          <w:sz w:val="32"/>
          <w:szCs w:val="32"/>
        </w:rPr>
        <w:t>年我部门财政资金收入总计</w:t>
      </w:r>
      <w:r w:rsidRPr="003F33CB">
        <w:rPr>
          <w:rFonts w:ascii="仿宋_GB2312" w:eastAsia="仿宋_GB2312" w:hAnsi="仿宋_GB2312" w:cs="仿宋_GB2312"/>
          <w:snapToGrid w:val="0"/>
          <w:kern w:val="0"/>
          <w:sz w:val="32"/>
          <w:szCs w:val="32"/>
        </w:rPr>
        <w:t>9547.75</w:t>
      </w:r>
      <w:r w:rsidRPr="003F33CB">
        <w:rPr>
          <w:rFonts w:ascii="仿宋_GB2312" w:eastAsia="仿宋_GB2312" w:hAnsi="仿宋_GB2312" w:cs="仿宋_GB2312" w:hint="eastAsia"/>
          <w:snapToGrid w:val="0"/>
          <w:kern w:val="0"/>
          <w:sz w:val="32"/>
          <w:szCs w:val="32"/>
        </w:rPr>
        <w:t>万元。其中：一般公共预算财政拨款收入</w:t>
      </w:r>
      <w:r w:rsidRPr="003F33CB">
        <w:rPr>
          <w:rFonts w:ascii="仿宋_GB2312" w:eastAsia="仿宋_GB2312" w:hAnsi="仿宋_GB2312" w:cs="仿宋_GB2312"/>
          <w:snapToGrid w:val="0"/>
          <w:kern w:val="0"/>
          <w:sz w:val="32"/>
          <w:szCs w:val="32"/>
        </w:rPr>
        <w:t>9547.75</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100%</w:t>
      </w:r>
      <w:r w:rsidRPr="003F33CB">
        <w:rPr>
          <w:rFonts w:ascii="仿宋_GB2312" w:eastAsia="仿宋_GB2312" w:hAnsi="仿宋_GB2312" w:cs="仿宋_GB2312" w:hint="eastAsia"/>
          <w:snapToGrid w:val="0"/>
          <w:kern w:val="0"/>
          <w:sz w:val="32"/>
          <w:szCs w:val="32"/>
        </w:rPr>
        <w:t>；政府性基金预算财政拨款收入</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；上级补助收入</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；事业收入</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；经营收入</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；附属单位上缴收入</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w:t>
      </w:r>
      <w:r w:rsidRPr="003F33CB">
        <w:rPr>
          <w:rFonts w:ascii="仿宋_GB2312" w:eastAsia="仿宋_GB2312" w:hAnsi="仿宋_GB2312" w:cs="仿宋_GB2312"/>
          <w:snapToGrid w:val="0"/>
          <w:kern w:val="0"/>
          <w:sz w:val="32"/>
          <w:szCs w:val="32"/>
        </w:rPr>
        <w:t xml:space="preserve"> </w:t>
      </w:r>
    </w:p>
    <w:p w:rsidR="009F170F" w:rsidRPr="003F33CB" w:rsidRDefault="009F170F" w:rsidP="003F33CB">
      <w:pPr>
        <w:adjustRightInd w:val="0"/>
        <w:snapToGrid w:val="0"/>
        <w:spacing w:line="576" w:lineRule="exact"/>
        <w:ind w:firstLineChars="200" w:firstLine="640"/>
        <w:rPr>
          <w:rFonts w:ascii="楷体_GB2312" w:eastAsia="楷体_GB2312" w:hAnsi="楷体_GB2312" w:cs="楷体_GB2312"/>
          <w:snapToGrid w:val="0"/>
          <w:kern w:val="0"/>
          <w:sz w:val="32"/>
          <w:szCs w:val="32"/>
        </w:rPr>
      </w:pPr>
      <w:r w:rsidRPr="003F33CB">
        <w:rPr>
          <w:rFonts w:ascii="楷体_GB2312" w:eastAsia="楷体_GB2312" w:hAnsi="楷体_GB2312" w:cs="楷体_GB2312" w:hint="eastAsia"/>
          <w:snapToGrid w:val="0"/>
          <w:kern w:val="0"/>
          <w:sz w:val="32"/>
          <w:szCs w:val="32"/>
        </w:rPr>
        <w:t>（二）部门财政资金支出情况</w:t>
      </w:r>
    </w:p>
    <w:p w:rsidR="009F170F" w:rsidRPr="003F33CB" w:rsidRDefault="009F170F">
      <w:pPr>
        <w:widowControl/>
        <w:adjustRightInd w:val="0"/>
        <w:snapToGrid w:val="0"/>
        <w:spacing w:line="576" w:lineRule="exact"/>
        <w:ind w:firstLineChars="200" w:firstLine="640"/>
        <w:contextualSpacing/>
        <w:jc w:val="left"/>
        <w:rPr>
          <w:rFonts w:ascii="仿宋_GB2312" w:eastAsia="仿宋_GB2312" w:hAnsi="仿宋_GB2312" w:cs="仿宋_GB2312"/>
          <w:snapToGrid w:val="0"/>
          <w:kern w:val="0"/>
          <w:sz w:val="32"/>
          <w:szCs w:val="32"/>
        </w:rPr>
      </w:pPr>
      <w:r w:rsidRPr="003F33CB">
        <w:rPr>
          <w:rFonts w:ascii="仿宋_GB2312" w:eastAsia="仿宋_GB2312" w:hAnsi="仿宋_GB2312" w:cs="仿宋_GB2312"/>
          <w:snapToGrid w:val="0"/>
          <w:kern w:val="0"/>
          <w:sz w:val="32"/>
          <w:szCs w:val="32"/>
        </w:rPr>
        <w:t>2021</w:t>
      </w:r>
      <w:r w:rsidRPr="003F33CB">
        <w:rPr>
          <w:rFonts w:ascii="仿宋_GB2312" w:eastAsia="仿宋_GB2312" w:hAnsi="仿宋_GB2312" w:cs="仿宋_GB2312" w:hint="eastAsia"/>
          <w:snapToGrid w:val="0"/>
          <w:kern w:val="0"/>
          <w:sz w:val="32"/>
          <w:szCs w:val="32"/>
        </w:rPr>
        <w:t>年本年支出合计</w:t>
      </w:r>
      <w:r w:rsidRPr="003F33CB">
        <w:rPr>
          <w:rFonts w:ascii="仿宋_GB2312" w:eastAsia="仿宋_GB2312" w:hAnsi="仿宋_GB2312" w:cs="仿宋_GB2312"/>
          <w:snapToGrid w:val="0"/>
          <w:kern w:val="0"/>
          <w:sz w:val="32"/>
          <w:szCs w:val="32"/>
        </w:rPr>
        <w:t>9547.75</w:t>
      </w:r>
      <w:r w:rsidRPr="003F33CB">
        <w:rPr>
          <w:rFonts w:ascii="仿宋_GB2312" w:eastAsia="仿宋_GB2312" w:hAnsi="仿宋_GB2312" w:cs="仿宋_GB2312" w:hint="eastAsia"/>
          <w:snapToGrid w:val="0"/>
          <w:kern w:val="0"/>
          <w:sz w:val="32"/>
          <w:szCs w:val="32"/>
        </w:rPr>
        <w:t>万元，其中：基本支出</w:t>
      </w:r>
      <w:r w:rsidRPr="003F33CB">
        <w:rPr>
          <w:rFonts w:ascii="仿宋_GB2312" w:eastAsia="仿宋_GB2312" w:hAnsi="仿宋_GB2312" w:cs="仿宋_GB2312"/>
          <w:snapToGrid w:val="0"/>
          <w:kern w:val="0"/>
          <w:sz w:val="32"/>
          <w:szCs w:val="32"/>
        </w:rPr>
        <w:t>2912.11</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30.5%</w:t>
      </w:r>
      <w:r w:rsidRPr="003F33CB">
        <w:rPr>
          <w:rFonts w:ascii="仿宋_GB2312" w:eastAsia="仿宋_GB2312" w:hAnsi="仿宋_GB2312" w:cs="仿宋_GB2312" w:hint="eastAsia"/>
          <w:snapToGrid w:val="0"/>
          <w:kern w:val="0"/>
          <w:sz w:val="32"/>
          <w:szCs w:val="32"/>
        </w:rPr>
        <w:t>；项目支出</w:t>
      </w:r>
      <w:r w:rsidRPr="003F33CB">
        <w:rPr>
          <w:rFonts w:ascii="仿宋_GB2312" w:eastAsia="仿宋_GB2312" w:hAnsi="仿宋_GB2312" w:cs="仿宋_GB2312"/>
          <w:snapToGrid w:val="0"/>
          <w:kern w:val="0"/>
          <w:sz w:val="32"/>
          <w:szCs w:val="32"/>
        </w:rPr>
        <w:t>5382.84</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69.5%</w:t>
      </w:r>
      <w:r w:rsidRPr="003F33CB">
        <w:rPr>
          <w:rFonts w:ascii="仿宋_GB2312" w:eastAsia="仿宋_GB2312" w:hAnsi="仿宋_GB2312" w:cs="仿宋_GB2312" w:hint="eastAsia"/>
          <w:snapToGrid w:val="0"/>
          <w:kern w:val="0"/>
          <w:sz w:val="32"/>
          <w:szCs w:val="32"/>
        </w:rPr>
        <w:t>；上缴上级支出</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；经营支出</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；对附属单位补助支出</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万元，占</w:t>
      </w:r>
      <w:r w:rsidRPr="003F33CB">
        <w:rPr>
          <w:rFonts w:ascii="仿宋_GB2312" w:eastAsia="仿宋_GB2312" w:hAnsi="仿宋_GB2312" w:cs="仿宋_GB2312"/>
          <w:snapToGrid w:val="0"/>
          <w:kern w:val="0"/>
          <w:sz w:val="32"/>
          <w:szCs w:val="32"/>
        </w:rPr>
        <w:t>0%</w:t>
      </w:r>
      <w:r w:rsidRPr="003F33CB">
        <w:rPr>
          <w:rFonts w:ascii="仿宋_GB2312" w:eastAsia="仿宋_GB2312" w:hAnsi="仿宋_GB2312" w:cs="仿宋_GB2312" w:hint="eastAsia"/>
          <w:snapToGrid w:val="0"/>
          <w:kern w:val="0"/>
          <w:sz w:val="32"/>
          <w:szCs w:val="32"/>
        </w:rPr>
        <w:t>。</w:t>
      </w:r>
    </w:p>
    <w:p w:rsidR="009F170F" w:rsidRPr="003F33CB" w:rsidRDefault="009F170F" w:rsidP="003F33CB">
      <w:pPr>
        <w:adjustRightInd w:val="0"/>
        <w:snapToGrid w:val="0"/>
        <w:spacing w:line="576"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三、</w:t>
      </w:r>
      <w:r w:rsidRPr="003F33CB">
        <w:rPr>
          <w:rFonts w:ascii="黑体" w:eastAsia="黑体" w:hAnsi="黑体" w:cs="黑体" w:hint="eastAsia"/>
          <w:snapToGrid w:val="0"/>
          <w:kern w:val="0"/>
          <w:sz w:val="32"/>
          <w:szCs w:val="32"/>
        </w:rPr>
        <w:t>部门整体预算绩效管理情况</w:t>
      </w:r>
    </w:p>
    <w:p w:rsidR="009F170F" w:rsidRPr="003F33CB" w:rsidRDefault="009F170F" w:rsidP="003F33CB">
      <w:pPr>
        <w:adjustRightInd w:val="0"/>
        <w:snapToGrid w:val="0"/>
        <w:spacing w:line="576" w:lineRule="exact"/>
        <w:ind w:firstLineChars="200" w:firstLine="640"/>
        <w:rPr>
          <w:rFonts w:ascii="楷体_GB2312" w:eastAsia="楷体_GB2312" w:hAnsi="楷体_GB2312" w:cs="楷体_GB2312"/>
          <w:snapToGrid w:val="0"/>
          <w:kern w:val="0"/>
          <w:sz w:val="32"/>
          <w:szCs w:val="32"/>
        </w:rPr>
      </w:pPr>
      <w:r w:rsidRPr="003F33CB">
        <w:rPr>
          <w:rFonts w:ascii="楷体_GB2312" w:eastAsia="楷体_GB2312" w:hAnsi="楷体_GB2312" w:cs="楷体_GB2312" w:hint="eastAsia"/>
          <w:snapToGrid w:val="0"/>
          <w:kern w:val="0"/>
          <w:sz w:val="32"/>
          <w:szCs w:val="32"/>
        </w:rPr>
        <w:t>（一）部门预算项目绩效管理</w:t>
      </w:r>
    </w:p>
    <w:p w:rsidR="009F170F" w:rsidRDefault="009F170F" w:rsidP="003F33CB">
      <w:pPr>
        <w:adjustRightInd w:val="0"/>
        <w:snapToGrid w:val="0"/>
        <w:spacing w:line="576"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bCs/>
          <w:snapToGrid w:val="0"/>
          <w:kern w:val="0"/>
          <w:sz w:val="32"/>
          <w:szCs w:val="32"/>
        </w:rPr>
        <w:t>1.</w:t>
      </w:r>
      <w:r>
        <w:rPr>
          <w:rFonts w:ascii="仿宋_GB2312" w:eastAsia="仿宋_GB2312" w:hAnsi="仿宋_GB2312" w:cs="仿宋_GB2312" w:hint="eastAsia"/>
          <w:bCs/>
          <w:snapToGrid w:val="0"/>
          <w:kern w:val="0"/>
          <w:sz w:val="32"/>
          <w:szCs w:val="32"/>
        </w:rPr>
        <w:t>绩效目标制定</w:t>
      </w:r>
    </w:p>
    <w:p w:rsidR="009F170F" w:rsidRDefault="009F170F" w:rsidP="003F33CB">
      <w:pPr>
        <w:adjustRightInd w:val="0"/>
        <w:snapToGrid w:val="0"/>
        <w:spacing w:line="576"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color w:val="000000"/>
          <w:sz w:val="32"/>
          <w:szCs w:val="32"/>
        </w:rPr>
        <w:t>按照预算绩效管理要求，本部门年初对</w:t>
      </w:r>
      <w:r>
        <w:rPr>
          <w:rFonts w:ascii="仿宋_GB2312" w:eastAsia="仿宋_GB2312" w:hAnsi="仿宋_GB2312" w:cs="仿宋_GB2312"/>
          <w:bCs/>
          <w:color w:val="000000"/>
          <w:sz w:val="32"/>
          <w:szCs w:val="32"/>
        </w:rPr>
        <w:t>2021</w:t>
      </w:r>
      <w:r>
        <w:rPr>
          <w:rFonts w:ascii="仿宋_GB2312" w:eastAsia="仿宋_GB2312" w:hAnsi="仿宋_GB2312" w:cs="仿宋_GB2312" w:hint="eastAsia"/>
          <w:bCs/>
          <w:color w:val="000000"/>
          <w:sz w:val="32"/>
          <w:szCs w:val="32"/>
        </w:rPr>
        <w:t>年项目支出及整体支出开展了绩效目标管理，年中对追加项目进行绩效目标设定。包含下属所有二级单位支出及项目，覆盖率达到</w:t>
      </w:r>
      <w:r>
        <w:rPr>
          <w:rFonts w:ascii="仿宋_GB2312" w:eastAsia="仿宋_GB2312" w:hAnsi="仿宋_GB2312" w:cs="仿宋_GB2312"/>
          <w:bCs/>
          <w:color w:val="000000"/>
          <w:sz w:val="32"/>
          <w:szCs w:val="32"/>
        </w:rPr>
        <w:t>100%</w:t>
      </w:r>
      <w:r>
        <w:rPr>
          <w:rFonts w:ascii="仿宋_GB2312" w:eastAsia="仿宋_GB2312" w:hAnsi="仿宋_GB2312" w:cs="仿宋_GB2312" w:hint="eastAsia"/>
          <w:bCs/>
          <w:color w:val="000000"/>
          <w:sz w:val="32"/>
          <w:szCs w:val="32"/>
        </w:rPr>
        <w:t>。</w:t>
      </w:r>
    </w:p>
    <w:p w:rsidR="009F170F" w:rsidRPr="003F33CB" w:rsidRDefault="009F170F" w:rsidP="003F33CB">
      <w:pPr>
        <w:adjustRightInd w:val="0"/>
        <w:snapToGrid w:val="0"/>
        <w:spacing w:line="576" w:lineRule="exact"/>
        <w:ind w:firstLineChars="200" w:firstLine="640"/>
        <w:rPr>
          <w:rFonts w:ascii="仿宋_GB2312" w:eastAsia="仿宋_GB2312" w:hAnsi="仿宋_GB2312" w:cs="仿宋_GB2312"/>
          <w:bCs/>
          <w:snapToGrid w:val="0"/>
          <w:kern w:val="0"/>
          <w:sz w:val="32"/>
          <w:szCs w:val="32"/>
        </w:rPr>
      </w:pPr>
      <w:r w:rsidRPr="003F33CB">
        <w:rPr>
          <w:rFonts w:ascii="仿宋_GB2312" w:eastAsia="仿宋_GB2312" w:hAnsi="仿宋_GB2312" w:cs="仿宋_GB2312"/>
          <w:bCs/>
          <w:snapToGrid w:val="0"/>
          <w:kern w:val="0"/>
          <w:sz w:val="32"/>
          <w:szCs w:val="32"/>
        </w:rPr>
        <w:t>2</w:t>
      </w:r>
      <w:r>
        <w:rPr>
          <w:rFonts w:ascii="仿宋_GB2312" w:eastAsia="仿宋_GB2312" w:hAnsi="仿宋_GB2312" w:cs="仿宋_GB2312"/>
          <w:bCs/>
          <w:snapToGrid w:val="0"/>
          <w:kern w:val="0"/>
          <w:sz w:val="32"/>
          <w:szCs w:val="32"/>
        </w:rPr>
        <w:t>.</w:t>
      </w:r>
      <w:r w:rsidRPr="003F33CB">
        <w:rPr>
          <w:rFonts w:ascii="仿宋_GB2312" w:eastAsia="仿宋_GB2312" w:hAnsi="仿宋_GB2312" w:cs="仿宋_GB2312"/>
          <w:bCs/>
          <w:snapToGrid w:val="0"/>
          <w:kern w:val="0"/>
          <w:sz w:val="32"/>
          <w:szCs w:val="32"/>
        </w:rPr>
        <w:t xml:space="preserve"> </w:t>
      </w:r>
      <w:r w:rsidRPr="003F33CB">
        <w:rPr>
          <w:rFonts w:ascii="仿宋_GB2312" w:eastAsia="仿宋_GB2312" w:hAnsi="仿宋_GB2312" w:cs="仿宋_GB2312" w:hint="eastAsia"/>
          <w:bCs/>
          <w:snapToGrid w:val="0"/>
          <w:kern w:val="0"/>
          <w:sz w:val="32"/>
          <w:szCs w:val="32"/>
        </w:rPr>
        <w:t>目标实现</w:t>
      </w:r>
    </w:p>
    <w:p w:rsidR="009F170F" w:rsidRPr="000515D8" w:rsidRDefault="009F170F" w:rsidP="003F33CB">
      <w:pPr>
        <w:widowControl/>
        <w:adjustRightInd w:val="0"/>
        <w:snapToGrid w:val="0"/>
        <w:spacing w:line="576" w:lineRule="exact"/>
        <w:ind w:firstLineChars="200" w:firstLine="640"/>
        <w:contextualSpacing/>
        <w:jc w:val="left"/>
        <w:rPr>
          <w:rFonts w:ascii="仿宋_GB2312" w:eastAsia="仿宋_GB2312" w:hAnsi="仿宋_GB2312" w:cs="仿宋_GB2312"/>
          <w:bCs/>
          <w:color w:val="000000"/>
          <w:sz w:val="32"/>
          <w:szCs w:val="32"/>
        </w:rPr>
      </w:pPr>
      <w:r w:rsidRPr="000515D8">
        <w:rPr>
          <w:rFonts w:ascii="仿宋_GB2312" w:eastAsia="仿宋_GB2312" w:hAnsi="仿宋_GB2312" w:cs="仿宋_GB2312" w:hint="eastAsia"/>
          <w:bCs/>
          <w:color w:val="000000"/>
          <w:sz w:val="32"/>
          <w:szCs w:val="32"/>
        </w:rPr>
        <w:t>人员类：基本保障了我部门人员工资、保险及住房公积金支付，实现了“保工资”基本目标</w:t>
      </w:r>
      <w:r>
        <w:rPr>
          <w:rFonts w:ascii="仿宋_GB2312" w:eastAsia="仿宋_GB2312" w:hAnsi="仿宋_GB2312" w:cs="仿宋_GB2312" w:hint="eastAsia"/>
          <w:bCs/>
          <w:color w:val="000000"/>
          <w:sz w:val="32"/>
          <w:szCs w:val="32"/>
        </w:rPr>
        <w:t>。</w:t>
      </w:r>
    </w:p>
    <w:p w:rsidR="009F170F" w:rsidRPr="000515D8" w:rsidRDefault="009F170F" w:rsidP="003F33CB">
      <w:pPr>
        <w:widowControl/>
        <w:adjustRightInd w:val="0"/>
        <w:snapToGrid w:val="0"/>
        <w:spacing w:line="576" w:lineRule="exact"/>
        <w:ind w:firstLineChars="200" w:firstLine="640"/>
        <w:contextualSpacing/>
        <w:jc w:val="left"/>
        <w:rPr>
          <w:rFonts w:ascii="仿宋_GB2312" w:eastAsia="仿宋_GB2312" w:hAnsi="仿宋_GB2312" w:cs="仿宋_GB2312"/>
          <w:bCs/>
          <w:color w:val="000000"/>
          <w:sz w:val="32"/>
          <w:szCs w:val="32"/>
        </w:rPr>
      </w:pPr>
      <w:r w:rsidRPr="000515D8">
        <w:rPr>
          <w:rFonts w:ascii="仿宋_GB2312" w:eastAsia="仿宋_GB2312" w:hAnsi="仿宋_GB2312" w:cs="仿宋_GB2312" w:hint="eastAsia"/>
          <w:bCs/>
          <w:color w:val="000000"/>
          <w:sz w:val="32"/>
          <w:szCs w:val="32"/>
        </w:rPr>
        <w:t>运转类：</w:t>
      </w:r>
      <w:r>
        <w:rPr>
          <w:rFonts w:ascii="仿宋_GB2312" w:eastAsia="仿宋_GB2312" w:hAnsi="仿宋_GB2312" w:cs="仿宋_GB2312" w:hint="eastAsia"/>
          <w:bCs/>
          <w:color w:val="000000"/>
          <w:sz w:val="32"/>
          <w:szCs w:val="32"/>
        </w:rPr>
        <w:t>公用经费主要保障单位水电、差旅费、办公费等基本</w:t>
      </w:r>
      <w:r w:rsidRPr="00E10494">
        <w:rPr>
          <w:rFonts w:ascii="仿宋_GB2312" w:eastAsia="仿宋_GB2312" w:hAnsi="仿宋_GB2312" w:cs="仿宋_GB2312" w:hint="eastAsia"/>
          <w:bCs/>
          <w:color w:val="000000"/>
          <w:spacing w:val="-6"/>
          <w:sz w:val="32"/>
          <w:szCs w:val="32"/>
        </w:rPr>
        <w:t>运转支出，在现行标准下，公用经费完全不能保障部门正常运转</w:t>
      </w:r>
      <w:r>
        <w:rPr>
          <w:rFonts w:ascii="仿宋_GB2312" w:eastAsia="仿宋_GB2312" w:hAnsi="仿宋_GB2312" w:cs="仿宋_GB2312" w:hint="eastAsia"/>
          <w:bCs/>
          <w:color w:val="000000"/>
          <w:sz w:val="32"/>
          <w:szCs w:val="32"/>
        </w:rPr>
        <w:t>。</w:t>
      </w:r>
    </w:p>
    <w:p w:rsidR="009F170F" w:rsidRDefault="009F170F" w:rsidP="003F33CB">
      <w:pPr>
        <w:widowControl/>
        <w:adjustRightInd w:val="0"/>
        <w:snapToGrid w:val="0"/>
        <w:spacing w:line="576" w:lineRule="exact"/>
        <w:ind w:firstLineChars="200" w:firstLine="640"/>
        <w:contextualSpacing/>
        <w:jc w:val="left"/>
        <w:rPr>
          <w:rFonts w:ascii="仿宋_GB2312" w:eastAsia="仿宋_GB2312" w:hAnsi="仿宋_GB2312" w:cs="仿宋_GB2312"/>
          <w:bCs/>
          <w:color w:val="000000"/>
          <w:sz w:val="32"/>
          <w:szCs w:val="32"/>
        </w:rPr>
      </w:pPr>
      <w:r w:rsidRPr="000515D8">
        <w:rPr>
          <w:rFonts w:ascii="仿宋_GB2312" w:eastAsia="仿宋_GB2312" w:hAnsi="仿宋_GB2312" w:cs="仿宋_GB2312" w:hint="eastAsia"/>
          <w:bCs/>
          <w:color w:val="000000"/>
          <w:sz w:val="32"/>
          <w:szCs w:val="32"/>
        </w:rPr>
        <w:t>特定目标类</w:t>
      </w:r>
      <w:r>
        <w:rPr>
          <w:rFonts w:ascii="仿宋_GB2312" w:eastAsia="仿宋_GB2312" w:hAnsi="仿宋_GB2312" w:cs="仿宋_GB2312" w:hint="eastAsia"/>
          <w:bCs/>
          <w:color w:val="000000"/>
          <w:sz w:val="32"/>
          <w:szCs w:val="32"/>
        </w:rPr>
        <w:t>：市本级安排的特定项目主要为弥补单位不足的经费类项目，这些项目有效保障了单位专项工作的正常开展，为部门基本职能的正常履行，提供了坚实的经费保障。</w:t>
      </w:r>
    </w:p>
    <w:p w:rsidR="009F170F" w:rsidRDefault="009F170F" w:rsidP="003F33CB">
      <w:pPr>
        <w:widowControl/>
        <w:adjustRightInd w:val="0"/>
        <w:snapToGrid w:val="0"/>
        <w:spacing w:line="576" w:lineRule="exact"/>
        <w:ind w:firstLineChars="200" w:firstLine="640"/>
        <w:contextualSpacing/>
        <w:jc w:val="left"/>
        <w:rPr>
          <w:rFonts w:ascii="仿宋_GB2312" w:eastAsia="仿宋_GB2312" w:hAnsi="仿宋_GB2312" w:cs="仿宋_GB2312"/>
          <w:bCs/>
          <w:color w:val="000000"/>
          <w:sz w:val="32"/>
          <w:szCs w:val="32"/>
        </w:rPr>
      </w:pPr>
      <w:r>
        <w:rPr>
          <w:rFonts w:ascii="仿宋_GB2312" w:eastAsia="仿宋_GB2312" w:hAnsi="仿宋_GB2312" w:cs="仿宋_GB2312"/>
          <w:bCs/>
          <w:color w:val="000000"/>
          <w:sz w:val="32"/>
          <w:szCs w:val="32"/>
        </w:rPr>
        <w:t>3.</w:t>
      </w:r>
      <w:r>
        <w:rPr>
          <w:rFonts w:ascii="仿宋_GB2312" w:eastAsia="仿宋_GB2312" w:hAnsi="仿宋_GB2312" w:cs="仿宋_GB2312" w:hint="eastAsia"/>
          <w:bCs/>
          <w:color w:val="000000"/>
          <w:sz w:val="32"/>
          <w:szCs w:val="32"/>
        </w:rPr>
        <w:t>支出控制</w:t>
      </w:r>
    </w:p>
    <w:p w:rsidR="009F170F" w:rsidRDefault="009F170F" w:rsidP="00DC28B8">
      <w:pPr>
        <w:adjustRightInd w:val="0"/>
        <w:snapToGrid w:val="0"/>
        <w:spacing w:line="576"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snapToGrid w:val="0"/>
          <w:kern w:val="0"/>
          <w:sz w:val="32"/>
          <w:szCs w:val="32"/>
        </w:rPr>
        <w:t>2021</w:t>
      </w:r>
      <w:r>
        <w:rPr>
          <w:rFonts w:ascii="仿宋_GB2312" w:eastAsia="仿宋_GB2312" w:hAnsi="仿宋_GB2312" w:cs="仿宋_GB2312" w:hint="eastAsia"/>
          <w:snapToGrid w:val="0"/>
          <w:kern w:val="0"/>
          <w:sz w:val="32"/>
          <w:szCs w:val="32"/>
        </w:rPr>
        <w:t>年部门预算执行中，我局严格执行国库集中支付管理规定；严格按公务卡强制结算目录进行公务卡结算；严格认真执行政府采购制度；票据实行专人管理、领购、发放、使用、核销票据行为规范。认真执行厉行节约相关规章制度，</w:t>
      </w:r>
    </w:p>
    <w:p w:rsidR="009F170F" w:rsidRDefault="009F170F" w:rsidP="003F33CB">
      <w:pPr>
        <w:widowControl/>
        <w:adjustRightInd w:val="0"/>
        <w:snapToGrid w:val="0"/>
        <w:spacing w:line="576" w:lineRule="exact"/>
        <w:ind w:firstLineChars="200" w:firstLine="640"/>
        <w:contextualSpacing/>
        <w:jc w:val="left"/>
        <w:rPr>
          <w:rFonts w:ascii="仿宋_GB2312" w:eastAsia="仿宋_GB2312" w:hAnsi="仿宋_GB2312" w:cs="仿宋_GB2312"/>
          <w:bCs/>
          <w:color w:val="000000"/>
          <w:sz w:val="32"/>
          <w:szCs w:val="32"/>
        </w:rPr>
      </w:pPr>
      <w:r>
        <w:rPr>
          <w:rFonts w:ascii="仿宋_GB2312" w:eastAsia="仿宋_GB2312" w:hAnsi="仿宋_GB2312" w:cs="仿宋_GB2312"/>
          <w:bCs/>
          <w:color w:val="000000"/>
          <w:sz w:val="32"/>
          <w:szCs w:val="32"/>
        </w:rPr>
        <w:t>4.</w:t>
      </w:r>
      <w:r>
        <w:rPr>
          <w:rFonts w:ascii="仿宋_GB2312" w:eastAsia="仿宋_GB2312" w:hAnsi="仿宋_GB2312" w:cs="仿宋_GB2312" w:hint="eastAsia"/>
          <w:bCs/>
          <w:color w:val="000000"/>
          <w:sz w:val="32"/>
          <w:szCs w:val="32"/>
        </w:rPr>
        <w:t>执行进度</w:t>
      </w:r>
    </w:p>
    <w:p w:rsidR="009F170F" w:rsidRDefault="009F170F" w:rsidP="00DC28B8">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snapToGrid w:val="0"/>
          <w:kern w:val="0"/>
          <w:sz w:val="32"/>
          <w:szCs w:val="32"/>
        </w:rPr>
        <w:t>2021</w:t>
      </w:r>
      <w:r>
        <w:rPr>
          <w:rFonts w:ascii="仿宋_GB2312" w:eastAsia="仿宋_GB2312" w:hAnsi="仿宋_GB2312" w:cs="仿宋_GB2312" w:hint="eastAsia"/>
          <w:snapToGrid w:val="0"/>
          <w:kern w:val="0"/>
          <w:sz w:val="32"/>
          <w:szCs w:val="32"/>
        </w:rPr>
        <w:t>年部门整体支出</w:t>
      </w:r>
      <w:r>
        <w:rPr>
          <w:rFonts w:ascii="仿宋_GB2312" w:eastAsia="仿宋_GB2312" w:hAnsi="仿宋_GB2312" w:cs="仿宋_GB2312" w:hint="eastAsia"/>
          <w:color w:val="000000"/>
          <w:sz w:val="32"/>
          <w:szCs w:val="32"/>
        </w:rPr>
        <w:t>合计</w:t>
      </w:r>
      <w:r>
        <w:rPr>
          <w:rFonts w:ascii="仿宋_GB2312" w:eastAsia="仿宋_GB2312" w:hAnsi="仿宋_GB2312" w:cs="仿宋_GB2312"/>
          <w:color w:val="000000"/>
          <w:sz w:val="32"/>
          <w:szCs w:val="32"/>
        </w:rPr>
        <w:t>9547.75</w:t>
      </w:r>
      <w:r>
        <w:rPr>
          <w:rFonts w:ascii="仿宋_GB2312" w:eastAsia="仿宋_GB2312" w:hAnsi="仿宋_GB2312" w:cs="仿宋_GB2312" w:hint="eastAsia"/>
          <w:color w:val="000000"/>
          <w:sz w:val="32"/>
          <w:szCs w:val="32"/>
        </w:rPr>
        <w:t>万元，完成调整预算的</w:t>
      </w:r>
      <w:r>
        <w:rPr>
          <w:rFonts w:ascii="仿宋_GB2312" w:eastAsia="仿宋_GB2312" w:hAnsi="仿宋_GB2312" w:cs="仿宋_GB2312"/>
          <w:color w:val="000000"/>
          <w:sz w:val="32"/>
          <w:szCs w:val="32"/>
        </w:rPr>
        <w:t>99.96%</w:t>
      </w:r>
      <w:r>
        <w:rPr>
          <w:rFonts w:ascii="仿宋_GB2312" w:eastAsia="仿宋_GB2312" w:hAnsi="仿宋_GB2312" w:cs="仿宋_GB2312" w:hint="eastAsia"/>
          <w:color w:val="000000"/>
          <w:sz w:val="32"/>
          <w:szCs w:val="32"/>
        </w:rPr>
        <w:t>，资金结余率</w:t>
      </w:r>
      <w:r>
        <w:rPr>
          <w:rFonts w:ascii="仿宋_GB2312" w:eastAsia="仿宋_GB2312" w:hAnsi="仿宋_GB2312" w:cs="仿宋_GB2312"/>
          <w:color w:val="000000"/>
          <w:sz w:val="32"/>
          <w:szCs w:val="32"/>
        </w:rPr>
        <w:t>0.04%</w:t>
      </w:r>
      <w:r>
        <w:rPr>
          <w:rFonts w:ascii="仿宋_GB2312" w:eastAsia="仿宋_GB2312" w:hAnsi="仿宋_GB2312" w:cs="仿宋_GB2312" w:hint="eastAsia"/>
          <w:color w:val="000000"/>
          <w:sz w:val="32"/>
          <w:szCs w:val="32"/>
        </w:rPr>
        <w:t>（含结转资金支出）。其中：基本支出完成调整预算的</w:t>
      </w:r>
      <w:r>
        <w:rPr>
          <w:rFonts w:ascii="仿宋_GB2312" w:eastAsia="仿宋_GB2312" w:hAnsi="仿宋_GB2312" w:cs="仿宋_GB2312"/>
          <w:color w:val="000000"/>
          <w:sz w:val="32"/>
          <w:szCs w:val="32"/>
        </w:rPr>
        <w:t>98.94%</w:t>
      </w:r>
      <w:r>
        <w:rPr>
          <w:rFonts w:ascii="仿宋_GB2312" w:eastAsia="仿宋_GB2312" w:hAnsi="仿宋_GB2312" w:cs="仿宋_GB2312" w:hint="eastAsia"/>
          <w:color w:val="000000"/>
          <w:sz w:val="32"/>
          <w:szCs w:val="32"/>
        </w:rPr>
        <w:t>，项目预算执行进度</w:t>
      </w:r>
      <w:r>
        <w:rPr>
          <w:rFonts w:ascii="仿宋_GB2312" w:eastAsia="仿宋_GB2312" w:hAnsi="仿宋_GB2312" w:cs="仿宋_GB2312"/>
          <w:color w:val="000000"/>
          <w:spacing w:val="-6"/>
          <w:sz w:val="32"/>
          <w:szCs w:val="32"/>
        </w:rPr>
        <w:t>81.46%</w:t>
      </w:r>
      <w:r>
        <w:rPr>
          <w:rFonts w:ascii="仿宋_GB2312" w:eastAsia="仿宋_GB2312" w:hAnsi="仿宋_GB2312" w:cs="仿宋_GB2312" w:hint="eastAsia"/>
          <w:color w:val="000000"/>
          <w:spacing w:val="-6"/>
          <w:sz w:val="32"/>
          <w:szCs w:val="32"/>
        </w:rPr>
        <w:t>，进度较慢的主要为区域应急广元基地、中央自灾害资金等项目，因其为跨年项目，目前正在紧张地进行前期项目工作，暂不能实现资金支付</w:t>
      </w:r>
      <w:r>
        <w:rPr>
          <w:rFonts w:ascii="仿宋_GB2312" w:eastAsia="仿宋_GB2312" w:hAnsi="仿宋_GB2312" w:cs="仿宋_GB2312" w:hint="eastAsia"/>
          <w:color w:val="000000"/>
          <w:sz w:val="32"/>
          <w:szCs w:val="32"/>
        </w:rPr>
        <w:t>。</w:t>
      </w:r>
    </w:p>
    <w:p w:rsidR="009F170F" w:rsidRPr="00D242B1" w:rsidRDefault="009F170F" w:rsidP="00D242B1">
      <w:pPr>
        <w:adjustRightInd w:val="0"/>
        <w:snapToGrid w:val="0"/>
        <w:spacing w:line="576" w:lineRule="exact"/>
        <w:ind w:firstLineChars="200" w:firstLine="640"/>
        <w:rPr>
          <w:rFonts w:ascii="楷体_GB2312" w:eastAsia="楷体_GB2312" w:hAnsi="楷体_GB2312" w:cs="楷体_GB2312"/>
          <w:snapToGrid w:val="0"/>
          <w:kern w:val="0"/>
          <w:sz w:val="32"/>
          <w:szCs w:val="32"/>
        </w:rPr>
      </w:pPr>
      <w:r w:rsidRPr="00D242B1">
        <w:rPr>
          <w:rFonts w:ascii="楷体_GB2312" w:eastAsia="楷体_GB2312" w:hAnsi="楷体_GB2312" w:cs="楷体_GB2312" w:hint="eastAsia"/>
          <w:snapToGrid w:val="0"/>
          <w:kern w:val="0"/>
          <w:sz w:val="32"/>
          <w:szCs w:val="32"/>
        </w:rPr>
        <w:t>（二）结果应用情况</w:t>
      </w:r>
    </w:p>
    <w:p w:rsidR="009F170F" w:rsidRDefault="009F170F" w:rsidP="00D242B1">
      <w:pPr>
        <w:adjustRightInd w:val="0"/>
        <w:snapToGrid w:val="0"/>
        <w:spacing w:line="576" w:lineRule="exact"/>
        <w:ind w:firstLineChars="200" w:firstLine="640"/>
        <w:rPr>
          <w:rFonts w:ascii="仿宋_GB2312" w:eastAsia="仿宋_GB2312" w:hAnsi="仿宋_GB2312" w:cs="仿宋_GB2312"/>
          <w:b/>
          <w:snapToGrid w:val="0"/>
          <w:kern w:val="0"/>
          <w:sz w:val="32"/>
          <w:szCs w:val="32"/>
        </w:rPr>
      </w:pPr>
      <w:r>
        <w:rPr>
          <w:rFonts w:ascii="仿宋_GB2312" w:eastAsia="仿宋_GB2312" w:hAnsi="仿宋_GB2312" w:cs="仿宋_GB2312" w:hint="eastAsia"/>
          <w:snapToGrid w:val="0"/>
          <w:kern w:val="0"/>
          <w:sz w:val="32"/>
          <w:szCs w:val="32"/>
        </w:rPr>
        <w:t>我局高度重视预算绩效结果应用。严格按照财政部门要求，切实加强财政支出预算执行管理，努力提高财政资金使用绩效。一是强化预算刚性约束，严格按照批复的部门支出预算执行，无随意改变专项资金规定用途、自行扩大支出范围和提高支出标准等行为。二是严格预算调整程序，确因特殊原因需要调整预算的，严格按照管理权限履行相关报批和备案手续。三是狠抓预算执行进度管理，坚持在</w:t>
      </w:r>
      <w:r>
        <w:rPr>
          <w:rFonts w:ascii="仿宋_GB2312" w:eastAsia="仿宋_GB2312" w:hAnsi="仿宋_GB2312" w:cs="仿宋_GB2312"/>
          <w:snapToGrid w:val="0"/>
          <w:kern w:val="0"/>
          <w:sz w:val="32"/>
          <w:szCs w:val="32"/>
        </w:rPr>
        <w:t>6</w:t>
      </w:r>
      <w:r>
        <w:rPr>
          <w:rFonts w:ascii="仿宋_GB2312" w:eastAsia="仿宋_GB2312" w:hAnsi="仿宋_GB2312" w:cs="仿宋_GB2312" w:hint="eastAsia"/>
          <w:snapToGrid w:val="0"/>
          <w:kern w:val="0"/>
          <w:sz w:val="32"/>
          <w:szCs w:val="32"/>
        </w:rPr>
        <w:t>月、</w:t>
      </w:r>
      <w:r>
        <w:rPr>
          <w:rFonts w:ascii="仿宋_GB2312" w:eastAsia="仿宋_GB2312" w:hAnsi="仿宋_GB2312" w:cs="仿宋_GB2312"/>
          <w:snapToGrid w:val="0"/>
          <w:kern w:val="0"/>
          <w:sz w:val="32"/>
          <w:szCs w:val="32"/>
        </w:rPr>
        <w:t>9</w:t>
      </w:r>
      <w:r>
        <w:rPr>
          <w:rFonts w:ascii="仿宋_GB2312" w:eastAsia="仿宋_GB2312" w:hAnsi="仿宋_GB2312" w:cs="仿宋_GB2312" w:hint="eastAsia"/>
          <w:snapToGrid w:val="0"/>
          <w:kern w:val="0"/>
          <w:sz w:val="32"/>
          <w:szCs w:val="32"/>
        </w:rPr>
        <w:t>月、</w:t>
      </w:r>
      <w:r>
        <w:rPr>
          <w:rFonts w:ascii="仿宋_GB2312" w:eastAsia="仿宋_GB2312" w:hAnsi="仿宋_GB2312" w:cs="仿宋_GB2312"/>
          <w:snapToGrid w:val="0"/>
          <w:kern w:val="0"/>
          <w:sz w:val="32"/>
          <w:szCs w:val="32"/>
        </w:rPr>
        <w:t>11</w:t>
      </w:r>
      <w:r>
        <w:rPr>
          <w:rFonts w:ascii="仿宋_GB2312" w:eastAsia="仿宋_GB2312" w:hAnsi="仿宋_GB2312" w:cs="仿宋_GB2312" w:hint="eastAsia"/>
          <w:snapToGrid w:val="0"/>
          <w:kern w:val="0"/>
          <w:sz w:val="32"/>
          <w:szCs w:val="32"/>
        </w:rPr>
        <w:t>月之前提前统计分析预算执行进度情况，并召开专题会议会商预算执行中存在的困难和问题，确保预算执行达到相关进度要求。四是及时整改各级检查反馈的问题，并举一反三，建章立制，确保长效。</w:t>
      </w:r>
    </w:p>
    <w:p w:rsidR="009F170F" w:rsidRPr="00D242B1" w:rsidRDefault="009F170F" w:rsidP="00D242B1">
      <w:pPr>
        <w:adjustRightInd w:val="0"/>
        <w:snapToGrid w:val="0"/>
        <w:spacing w:line="576" w:lineRule="exact"/>
        <w:ind w:firstLineChars="200" w:firstLine="640"/>
        <w:rPr>
          <w:rFonts w:ascii="楷体_GB2312" w:eastAsia="楷体_GB2312" w:hAnsi="楷体_GB2312" w:cs="楷体_GB2312"/>
          <w:snapToGrid w:val="0"/>
          <w:kern w:val="0"/>
          <w:sz w:val="32"/>
          <w:szCs w:val="32"/>
        </w:rPr>
      </w:pPr>
      <w:r>
        <w:rPr>
          <w:rFonts w:ascii="楷体_GB2312" w:eastAsia="楷体_GB2312" w:hAnsi="楷体_GB2312" w:cs="楷体_GB2312" w:hint="eastAsia"/>
          <w:snapToGrid w:val="0"/>
          <w:kern w:val="0"/>
          <w:sz w:val="32"/>
          <w:szCs w:val="32"/>
        </w:rPr>
        <w:t>（三）</w:t>
      </w:r>
      <w:r w:rsidRPr="00D242B1">
        <w:rPr>
          <w:rFonts w:ascii="楷体_GB2312" w:eastAsia="楷体_GB2312" w:hAnsi="楷体_GB2312" w:cs="楷体_GB2312" w:hint="eastAsia"/>
          <w:snapToGrid w:val="0"/>
          <w:kern w:val="0"/>
          <w:sz w:val="32"/>
          <w:szCs w:val="32"/>
        </w:rPr>
        <w:t>自评质量</w:t>
      </w:r>
    </w:p>
    <w:p w:rsidR="009F170F" w:rsidRPr="00D242B1" w:rsidRDefault="009F170F">
      <w:pPr>
        <w:widowControl/>
        <w:adjustRightInd w:val="0"/>
        <w:snapToGrid w:val="0"/>
        <w:spacing w:line="576" w:lineRule="exact"/>
        <w:ind w:firstLineChars="200" w:firstLine="640"/>
        <w:contextualSpacing/>
        <w:jc w:val="left"/>
        <w:rPr>
          <w:rFonts w:ascii="仿宋_GB2312" w:eastAsia="仿宋_GB2312" w:hAnsi="仿宋_GB2312" w:cs="仿宋_GB2312"/>
          <w:snapToGrid w:val="0"/>
          <w:kern w:val="0"/>
          <w:sz w:val="32"/>
          <w:szCs w:val="32"/>
        </w:rPr>
      </w:pPr>
      <w:r w:rsidRPr="00D242B1">
        <w:rPr>
          <w:rFonts w:ascii="仿宋_GB2312" w:eastAsia="仿宋_GB2312" w:hAnsi="仿宋_GB2312" w:cs="仿宋_GB2312" w:hint="eastAsia"/>
          <w:snapToGrid w:val="0"/>
          <w:kern w:val="0"/>
          <w:sz w:val="32"/>
          <w:szCs w:val="32"/>
        </w:rPr>
        <w:t>我局严格</w:t>
      </w:r>
      <w:r>
        <w:rPr>
          <w:rFonts w:ascii="仿宋_GB2312" w:eastAsia="仿宋_GB2312" w:hAnsi="仿宋_GB2312" w:cs="仿宋_GB2312" w:hint="eastAsia"/>
          <w:snapToGrid w:val="0"/>
          <w:kern w:val="0"/>
          <w:sz w:val="32"/>
          <w:szCs w:val="32"/>
        </w:rPr>
        <w:t>比照绩效指标体系，逐条自查，严格自我评价，所有指标自评得分均与实际相符。</w:t>
      </w:r>
    </w:p>
    <w:p w:rsidR="009F170F" w:rsidRPr="00D242B1" w:rsidRDefault="009F170F" w:rsidP="00D242B1">
      <w:pPr>
        <w:adjustRightInd w:val="0"/>
        <w:snapToGrid w:val="0"/>
        <w:spacing w:line="576" w:lineRule="exact"/>
        <w:ind w:firstLineChars="200" w:firstLine="640"/>
        <w:rPr>
          <w:rFonts w:ascii="黑体" w:eastAsia="黑体" w:hAnsi="黑体" w:cs="黑体"/>
          <w:snapToGrid w:val="0"/>
          <w:kern w:val="0"/>
          <w:sz w:val="32"/>
          <w:szCs w:val="32"/>
        </w:rPr>
      </w:pPr>
      <w:r w:rsidRPr="00D242B1">
        <w:rPr>
          <w:rFonts w:ascii="黑体" w:eastAsia="黑体" w:hAnsi="黑体" w:cs="黑体" w:hint="eastAsia"/>
          <w:snapToGrid w:val="0"/>
          <w:kern w:val="0"/>
          <w:sz w:val="32"/>
          <w:szCs w:val="32"/>
        </w:rPr>
        <w:t>四、评价结论及建议</w:t>
      </w:r>
    </w:p>
    <w:p w:rsidR="009F170F" w:rsidRDefault="009F170F">
      <w:pPr>
        <w:adjustRightInd w:val="0"/>
        <w:snapToGrid w:val="0"/>
        <w:spacing w:line="576" w:lineRule="exact"/>
        <w:ind w:firstLineChars="200" w:firstLine="640"/>
        <w:rPr>
          <w:rFonts w:ascii="仿宋_GB2312" w:eastAsia="仿宋_GB2312" w:hAnsi="仿宋_GB2312" w:cs="仿宋_GB2312"/>
          <w:snapToGrid w:val="0"/>
          <w:kern w:val="0"/>
          <w:sz w:val="32"/>
          <w:szCs w:val="32"/>
        </w:rPr>
      </w:pPr>
      <w:r w:rsidRPr="00D242B1">
        <w:rPr>
          <w:rFonts w:ascii="楷体_GB2312" w:eastAsia="楷体_GB2312" w:hAnsi="楷体_GB2312" w:cs="楷体_GB2312" w:hint="eastAsia"/>
          <w:snapToGrid w:val="0"/>
          <w:kern w:val="0"/>
          <w:sz w:val="32"/>
          <w:szCs w:val="32"/>
        </w:rPr>
        <w:t>（一）评价结论</w:t>
      </w:r>
      <w:r>
        <w:rPr>
          <w:rFonts w:ascii="楷体_GB2312" w:eastAsia="楷体_GB2312" w:hAnsi="楷体_GB2312" w:cs="楷体_GB2312" w:hint="eastAsia"/>
          <w:snapToGrid w:val="0"/>
          <w:kern w:val="0"/>
          <w:sz w:val="32"/>
          <w:szCs w:val="32"/>
        </w:rPr>
        <w:t>。</w:t>
      </w:r>
      <w:r>
        <w:rPr>
          <w:rFonts w:ascii="仿宋_GB2312" w:eastAsia="仿宋_GB2312" w:hAnsi="仿宋_GB2312" w:cs="仿宋_GB2312" w:hint="eastAsia"/>
          <w:snapToGrid w:val="0"/>
          <w:kern w:val="0"/>
          <w:sz w:val="32"/>
          <w:szCs w:val="32"/>
        </w:rPr>
        <w:t>部门整体支出绩效评价得分</w:t>
      </w:r>
      <w:r>
        <w:rPr>
          <w:rFonts w:ascii="仿宋_GB2312" w:eastAsia="仿宋_GB2312" w:hAnsi="仿宋_GB2312" w:cs="仿宋_GB2312"/>
          <w:snapToGrid w:val="0"/>
          <w:kern w:val="0"/>
          <w:sz w:val="32"/>
          <w:szCs w:val="32"/>
        </w:rPr>
        <w:t>96.4</w:t>
      </w:r>
      <w:r>
        <w:rPr>
          <w:rFonts w:ascii="仿宋_GB2312" w:eastAsia="仿宋_GB2312" w:hAnsi="仿宋_GB2312" w:cs="仿宋_GB2312" w:hint="eastAsia"/>
          <w:snapToGrid w:val="0"/>
          <w:kern w:val="0"/>
          <w:sz w:val="32"/>
          <w:szCs w:val="32"/>
        </w:rPr>
        <w:t>分，部门支出绩效评价扣分原因为：自评公开扣</w:t>
      </w:r>
      <w:r>
        <w:rPr>
          <w:rFonts w:ascii="仿宋_GB2312" w:eastAsia="仿宋_GB2312" w:hAnsi="仿宋_GB2312" w:cs="仿宋_GB2312"/>
          <w:snapToGrid w:val="0"/>
          <w:kern w:val="0"/>
          <w:sz w:val="32"/>
          <w:szCs w:val="32"/>
        </w:rPr>
        <w:t>1</w:t>
      </w:r>
      <w:r>
        <w:rPr>
          <w:rFonts w:ascii="仿宋_GB2312" w:eastAsia="仿宋_GB2312" w:hAnsi="仿宋_GB2312" w:cs="仿宋_GB2312" w:hint="eastAsia"/>
          <w:snapToGrid w:val="0"/>
          <w:kern w:val="0"/>
          <w:sz w:val="32"/>
          <w:szCs w:val="32"/>
        </w:rPr>
        <w:t>分，支出控制扣</w:t>
      </w:r>
      <w:r>
        <w:rPr>
          <w:rFonts w:ascii="仿宋_GB2312" w:eastAsia="仿宋_GB2312" w:hAnsi="仿宋_GB2312" w:cs="仿宋_GB2312"/>
          <w:snapToGrid w:val="0"/>
          <w:kern w:val="0"/>
          <w:sz w:val="32"/>
          <w:szCs w:val="32"/>
        </w:rPr>
        <w:t>1</w:t>
      </w:r>
      <w:r>
        <w:rPr>
          <w:rFonts w:ascii="仿宋_GB2312" w:eastAsia="仿宋_GB2312" w:hAnsi="仿宋_GB2312" w:cs="仿宋_GB2312" w:hint="eastAsia"/>
          <w:snapToGrid w:val="0"/>
          <w:kern w:val="0"/>
          <w:sz w:val="32"/>
          <w:szCs w:val="32"/>
        </w:rPr>
        <w:t>分，项目支出绩效评价得</w:t>
      </w:r>
      <w:r>
        <w:rPr>
          <w:rFonts w:ascii="仿宋_GB2312" w:eastAsia="仿宋_GB2312" w:hAnsi="仿宋_GB2312" w:cs="仿宋_GB2312"/>
          <w:snapToGrid w:val="0"/>
          <w:kern w:val="0"/>
          <w:sz w:val="32"/>
          <w:szCs w:val="32"/>
        </w:rPr>
        <w:t>97</w:t>
      </w:r>
      <w:r>
        <w:rPr>
          <w:rFonts w:ascii="仿宋_GB2312" w:eastAsia="仿宋_GB2312" w:hAnsi="仿宋_GB2312" w:cs="仿宋_GB2312" w:hint="eastAsia"/>
          <w:snapToGrid w:val="0"/>
          <w:kern w:val="0"/>
          <w:sz w:val="32"/>
          <w:szCs w:val="32"/>
        </w:rPr>
        <w:t>分，按</w:t>
      </w:r>
      <w:r>
        <w:rPr>
          <w:rFonts w:ascii="仿宋_GB2312" w:eastAsia="仿宋_GB2312" w:hAnsi="仿宋_GB2312" w:cs="仿宋_GB2312"/>
          <w:snapToGrid w:val="0"/>
          <w:kern w:val="0"/>
          <w:sz w:val="32"/>
          <w:szCs w:val="32"/>
        </w:rPr>
        <w:t>40%</w:t>
      </w:r>
      <w:r>
        <w:rPr>
          <w:rFonts w:ascii="仿宋_GB2312" w:eastAsia="仿宋_GB2312" w:hAnsi="仿宋_GB2312" w:cs="仿宋_GB2312" w:hint="eastAsia"/>
          <w:snapToGrid w:val="0"/>
          <w:kern w:val="0"/>
          <w:sz w:val="32"/>
          <w:szCs w:val="32"/>
        </w:rPr>
        <w:t>权重计算，该部门总体绩效评价最终得分为</w:t>
      </w:r>
      <w:r>
        <w:rPr>
          <w:rFonts w:ascii="仿宋_GB2312" w:eastAsia="仿宋_GB2312" w:hAnsi="仿宋_GB2312" w:cs="仿宋_GB2312"/>
          <w:snapToGrid w:val="0"/>
          <w:kern w:val="0"/>
          <w:sz w:val="32"/>
          <w:szCs w:val="32"/>
        </w:rPr>
        <w:t>96.4</w:t>
      </w:r>
      <w:r>
        <w:rPr>
          <w:rFonts w:ascii="仿宋_GB2312" w:eastAsia="仿宋_GB2312" w:hAnsi="仿宋_GB2312" w:cs="仿宋_GB2312" w:hint="eastAsia"/>
          <w:snapToGrid w:val="0"/>
          <w:kern w:val="0"/>
          <w:sz w:val="32"/>
          <w:szCs w:val="32"/>
        </w:rPr>
        <w:t>分。</w:t>
      </w:r>
    </w:p>
    <w:p w:rsidR="009F170F" w:rsidRDefault="009F170F" w:rsidP="00E10494">
      <w:pPr>
        <w:adjustRightInd w:val="0"/>
        <w:snapToGrid w:val="0"/>
        <w:spacing w:line="576" w:lineRule="exact"/>
        <w:ind w:firstLineChars="200" w:firstLine="640"/>
        <w:rPr>
          <w:rFonts w:ascii="仿宋_GB2312" w:eastAsia="仿宋_GB2312" w:hAnsi="仿宋_GB2312" w:cs="仿宋_GB2312"/>
          <w:sz w:val="32"/>
          <w:szCs w:val="32"/>
        </w:rPr>
      </w:pPr>
      <w:r w:rsidRPr="00D242B1">
        <w:rPr>
          <w:rFonts w:ascii="楷体_GB2312" w:eastAsia="楷体_GB2312" w:hAnsi="楷体_GB2312" w:cs="楷体_GB2312" w:hint="eastAsia"/>
          <w:snapToGrid w:val="0"/>
          <w:kern w:val="0"/>
          <w:sz w:val="32"/>
          <w:szCs w:val="32"/>
        </w:rPr>
        <w:t>（二）存在问题</w:t>
      </w:r>
      <w:r>
        <w:rPr>
          <w:rFonts w:ascii="楷体_GB2312" w:eastAsia="楷体_GB2312" w:hAnsi="楷体_GB2312" w:cs="楷体_GB2312" w:hint="eastAsia"/>
          <w:snapToGrid w:val="0"/>
          <w:kern w:val="0"/>
          <w:sz w:val="32"/>
          <w:szCs w:val="32"/>
        </w:rPr>
        <w:t>。</w:t>
      </w:r>
      <w:r>
        <w:rPr>
          <w:rFonts w:ascii="仿宋_GB2312" w:eastAsia="仿宋_GB2312" w:hAnsi="仿宋_GB2312" w:cs="仿宋_GB2312" w:hint="eastAsia"/>
          <w:sz w:val="32"/>
          <w:szCs w:val="32"/>
        </w:rPr>
        <w:t>一是部分项目难以用指标量化，不具有项目实体；二是绩效评价工作近年来要求逐渐提高，任务加重、专业性更强，而对应培训较少，经办人员在理解文件等学习资料上存在偏差，工作过程</w:t>
      </w:r>
      <w:r>
        <w:rPr>
          <w:rFonts w:ascii="仿宋_GB2312" w:eastAsia="仿宋_GB2312" w:hAnsi="仿宋_GB2312" w:cs="仿宋_GB2312" w:hint="eastAsia"/>
          <w:spacing w:val="-6"/>
          <w:sz w:val="32"/>
          <w:szCs w:val="32"/>
        </w:rPr>
        <w:t>中闭门造车，交流较少，质量不高；三是安全专项经费总体不足</w:t>
      </w:r>
      <w:r>
        <w:rPr>
          <w:rFonts w:ascii="仿宋_GB2312" w:eastAsia="仿宋_GB2312" w:hAnsi="仿宋_GB2312" w:cs="仿宋_GB2312" w:hint="eastAsia"/>
          <w:sz w:val="32"/>
          <w:szCs w:val="32"/>
        </w:rPr>
        <w:t>。</w:t>
      </w:r>
    </w:p>
    <w:p w:rsidR="009F170F" w:rsidRDefault="009F170F" w:rsidP="00E10494">
      <w:pPr>
        <w:adjustRightInd w:val="0"/>
        <w:snapToGrid w:val="0"/>
        <w:spacing w:line="576" w:lineRule="exact"/>
        <w:ind w:firstLineChars="200" w:firstLine="640"/>
        <w:rPr>
          <w:rFonts w:ascii="仿宋_GB2312" w:eastAsia="仿宋_GB2312" w:hAnsi="仿宋_GB2312" w:cs="仿宋_GB2312"/>
          <w:sz w:val="32"/>
          <w:szCs w:val="32"/>
        </w:rPr>
      </w:pPr>
      <w:r w:rsidRPr="00D242B1">
        <w:rPr>
          <w:rFonts w:ascii="楷体_GB2312" w:eastAsia="楷体_GB2312" w:hAnsi="楷体_GB2312" w:cs="楷体_GB2312" w:hint="eastAsia"/>
          <w:snapToGrid w:val="0"/>
          <w:kern w:val="0"/>
          <w:sz w:val="32"/>
          <w:szCs w:val="32"/>
        </w:rPr>
        <w:t>（三）改进建议</w:t>
      </w:r>
      <w:r>
        <w:rPr>
          <w:rFonts w:ascii="楷体_GB2312" w:eastAsia="楷体_GB2312" w:hAnsi="楷体_GB2312" w:cs="楷体_GB2312" w:hint="eastAsia"/>
          <w:snapToGrid w:val="0"/>
          <w:kern w:val="0"/>
          <w:sz w:val="32"/>
          <w:szCs w:val="32"/>
        </w:rPr>
        <w:t>。</w:t>
      </w:r>
      <w:r>
        <w:rPr>
          <w:rFonts w:ascii="仿宋_GB2312" w:eastAsia="仿宋_GB2312" w:hAnsi="仿宋_GB2312" w:cs="仿宋_GB2312" w:hint="eastAsia"/>
          <w:sz w:val="32"/>
          <w:szCs w:val="32"/>
        </w:rPr>
        <w:t>绩效评价是深入贯彻落实新《预算法》和《国务院关于深化预算管理制度改革的决定》（国发〔</w:t>
      </w: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号）的一项重要内容，建议市财政部门进一步加强对部门绩效评价工作的培训和指导，进一步优化项目绩效考核指标体系，做到合理性与可操作性的有机统一。同时，建议进一步增加安全专项经费预算，保证逐年有所增加，建立持续稳定的安全生产专项资金保障机制。</w:t>
      </w:r>
    </w:p>
    <w:p w:rsidR="009F170F" w:rsidRDefault="009F170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w:t>
      </w:r>
    </w:p>
    <w:p w:rsidR="009F170F" w:rsidRDefault="009F170F">
      <w:pPr>
        <w:spacing w:line="576" w:lineRule="exact"/>
        <w:ind w:firstLineChars="200" w:firstLine="640"/>
        <w:rPr>
          <w:rFonts w:ascii="仿宋_GB2312" w:eastAsia="仿宋_GB2312" w:hAnsi="仿宋_GB2312" w:cs="仿宋_GB2312"/>
          <w:sz w:val="32"/>
          <w:szCs w:val="32"/>
        </w:rPr>
      </w:pPr>
    </w:p>
    <w:p w:rsidR="009F170F" w:rsidRDefault="009F170F">
      <w:pPr>
        <w:spacing w:line="576" w:lineRule="exact"/>
        <w:ind w:firstLineChars="200" w:firstLine="640"/>
        <w:rPr>
          <w:rFonts w:ascii="仿宋_GB2312" w:eastAsia="仿宋_GB2312" w:hAnsi="仿宋_GB2312" w:cs="仿宋_GB2312"/>
          <w:sz w:val="32"/>
          <w:szCs w:val="32"/>
        </w:rPr>
      </w:pPr>
    </w:p>
    <w:p w:rsidR="009F170F" w:rsidRDefault="009F170F">
      <w:pPr>
        <w:spacing w:line="576"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广元市应急管理局</w:t>
      </w:r>
    </w:p>
    <w:p w:rsidR="009F170F" w:rsidRDefault="009F170F">
      <w:pPr>
        <w:spacing w:line="576" w:lineRule="exact"/>
        <w:ind w:firstLineChars="1500" w:firstLine="480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15"/>
          <w:attr w:name="Month" w:val="6"/>
          <w:attr w:name="Year" w:val="2022"/>
        </w:smartTag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smartTag>
    </w:p>
    <w:p w:rsidR="009F170F" w:rsidRDefault="009F170F">
      <w:pPr>
        <w:widowControl/>
        <w:adjustRightInd w:val="0"/>
        <w:snapToGrid w:val="0"/>
        <w:spacing w:line="576" w:lineRule="exact"/>
        <w:contextualSpacing/>
        <w:jc w:val="left"/>
        <w:rPr>
          <w:rFonts w:ascii="仿宋_GB2312" w:eastAsia="仿宋_GB2312" w:hAnsi="仿宋_GB2312" w:cs="仿宋_GB2312"/>
          <w:sz w:val="32"/>
          <w:szCs w:val="32"/>
        </w:rPr>
      </w:pPr>
    </w:p>
    <w:sectPr w:rsidR="009F170F" w:rsidSect="00952858">
      <w:footerReference w:type="even" r:id="rId7"/>
      <w:footerReference w:type="default" r:id="rId8"/>
      <w:pgSz w:w="11906" w:h="16838"/>
      <w:pgMar w:top="2098" w:right="1474" w:bottom="1984" w:left="1587" w:header="851" w:footer="153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70F" w:rsidRDefault="009F170F">
      <w:r>
        <w:separator/>
      </w:r>
    </w:p>
  </w:endnote>
  <w:endnote w:type="continuationSeparator" w:id="0">
    <w:p w:rsidR="009F170F" w:rsidRDefault="009F1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0632A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F170F" w:rsidRDefault="009F170F" w:rsidP="0095285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Pr="00952858" w:rsidRDefault="009F170F" w:rsidP="00952858">
    <w:pPr>
      <w:pStyle w:val="Footer"/>
      <w:framePr w:w="1088" w:wrap="around" w:vAnchor="text" w:hAnchor="page" w:x="9328" w:y="4"/>
      <w:rPr>
        <w:rStyle w:val="PageNumber"/>
        <w:rFonts w:ascii="宋体"/>
        <w:sz w:val="28"/>
        <w:szCs w:val="28"/>
      </w:rPr>
    </w:pPr>
    <w:r>
      <w:rPr>
        <w:rStyle w:val="PageNumber"/>
        <w:rFonts w:ascii="宋体" w:hAnsi="宋体"/>
        <w:sz w:val="28"/>
        <w:szCs w:val="28"/>
      </w:rPr>
      <w:t xml:space="preserve">— </w:t>
    </w:r>
    <w:r w:rsidRPr="00952858">
      <w:rPr>
        <w:rStyle w:val="PageNumber"/>
        <w:rFonts w:ascii="宋体" w:hAnsi="宋体"/>
        <w:sz w:val="28"/>
        <w:szCs w:val="28"/>
      </w:rPr>
      <w:fldChar w:fldCharType="begin"/>
    </w:r>
    <w:r w:rsidRPr="00952858">
      <w:rPr>
        <w:rStyle w:val="PageNumber"/>
        <w:rFonts w:ascii="宋体" w:hAnsi="宋体"/>
        <w:sz w:val="28"/>
        <w:szCs w:val="28"/>
      </w:rPr>
      <w:instrText xml:space="preserve">PAGE  </w:instrText>
    </w:r>
    <w:r w:rsidRPr="00952858">
      <w:rPr>
        <w:rStyle w:val="PageNumber"/>
        <w:rFonts w:ascii="宋体" w:hAnsi="宋体"/>
        <w:sz w:val="28"/>
        <w:szCs w:val="28"/>
      </w:rPr>
      <w:fldChar w:fldCharType="separate"/>
    </w:r>
    <w:r>
      <w:rPr>
        <w:rStyle w:val="PageNumber"/>
        <w:rFonts w:ascii="宋体" w:hAnsi="宋体"/>
        <w:noProof/>
        <w:sz w:val="28"/>
        <w:szCs w:val="28"/>
      </w:rPr>
      <w:t>8</w:t>
    </w:r>
    <w:r w:rsidRPr="00952858">
      <w:rPr>
        <w:rStyle w:val="PageNumber"/>
        <w:rFonts w:ascii="宋体" w:hAnsi="宋体"/>
        <w:sz w:val="28"/>
        <w:szCs w:val="28"/>
      </w:rPr>
      <w:fldChar w:fldCharType="end"/>
    </w:r>
    <w:r>
      <w:rPr>
        <w:rStyle w:val="PageNumber"/>
        <w:rFonts w:ascii="宋体" w:hAnsi="宋体"/>
        <w:sz w:val="28"/>
        <w:szCs w:val="28"/>
      </w:rPr>
      <w:t xml:space="preserve"> —</w:t>
    </w:r>
  </w:p>
  <w:p w:rsidR="009F170F" w:rsidRDefault="009F170F" w:rsidP="0095285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70F" w:rsidRDefault="009F170F">
      <w:r>
        <w:separator/>
      </w:r>
    </w:p>
  </w:footnote>
  <w:footnote w:type="continuationSeparator" w:id="0">
    <w:p w:rsidR="009F170F" w:rsidRDefault="009F1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94925"/>
    <w:multiLevelType w:val="singleLevel"/>
    <w:tmpl w:val="3E794925"/>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99D"/>
    <w:rsid w:val="000515D8"/>
    <w:rsid w:val="000632AA"/>
    <w:rsid w:val="00094E46"/>
    <w:rsid w:val="00095654"/>
    <w:rsid w:val="000B6866"/>
    <w:rsid w:val="000C1BF2"/>
    <w:rsid w:val="00126D10"/>
    <w:rsid w:val="001F197C"/>
    <w:rsid w:val="00224423"/>
    <w:rsid w:val="00236A4E"/>
    <w:rsid w:val="0024634C"/>
    <w:rsid w:val="003B226C"/>
    <w:rsid w:val="003F33CB"/>
    <w:rsid w:val="004001A2"/>
    <w:rsid w:val="00414BB3"/>
    <w:rsid w:val="00420DBA"/>
    <w:rsid w:val="00493BBF"/>
    <w:rsid w:val="004B497D"/>
    <w:rsid w:val="0057275D"/>
    <w:rsid w:val="005736C5"/>
    <w:rsid w:val="005B1656"/>
    <w:rsid w:val="00676B90"/>
    <w:rsid w:val="006B22D2"/>
    <w:rsid w:val="006D2638"/>
    <w:rsid w:val="006F67F9"/>
    <w:rsid w:val="0070274B"/>
    <w:rsid w:val="007278C7"/>
    <w:rsid w:val="007A7857"/>
    <w:rsid w:val="007D599D"/>
    <w:rsid w:val="00837200"/>
    <w:rsid w:val="00883D01"/>
    <w:rsid w:val="00952858"/>
    <w:rsid w:val="0096190E"/>
    <w:rsid w:val="009F170F"/>
    <w:rsid w:val="00A12EF0"/>
    <w:rsid w:val="00A83CD2"/>
    <w:rsid w:val="00B91FD5"/>
    <w:rsid w:val="00C75609"/>
    <w:rsid w:val="00CC0802"/>
    <w:rsid w:val="00D242B1"/>
    <w:rsid w:val="00DA1843"/>
    <w:rsid w:val="00DC28B8"/>
    <w:rsid w:val="00E10494"/>
    <w:rsid w:val="00E80377"/>
    <w:rsid w:val="00EC7DB7"/>
    <w:rsid w:val="00F04635"/>
    <w:rsid w:val="43AE55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7C"/>
    <w:pPr>
      <w:widowControl w:val="0"/>
      <w:jc w:val="both"/>
    </w:pPr>
    <w:rPr>
      <w:rFonts w:ascii="Times New Roman" w:eastAsia="宋体" w:hAnsi="Times New Roman"/>
      <w:szCs w:val="24"/>
    </w:rPr>
  </w:style>
  <w:style w:type="paragraph" w:styleId="Heading1">
    <w:name w:val="heading 1"/>
    <w:basedOn w:val="Normal"/>
    <w:next w:val="Normal"/>
    <w:link w:val="Heading1Char"/>
    <w:uiPriority w:val="99"/>
    <w:qFormat/>
    <w:rsid w:val="001F197C"/>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197C"/>
    <w:rPr>
      <w:rFonts w:ascii="Times New Roman" w:eastAsia="宋体" w:hAnsi="Times New Roman"/>
      <w:b/>
      <w:kern w:val="44"/>
      <w:sz w:val="44"/>
    </w:rPr>
  </w:style>
  <w:style w:type="paragraph" w:styleId="Footer">
    <w:name w:val="footer"/>
    <w:basedOn w:val="Normal"/>
    <w:link w:val="FooterChar"/>
    <w:uiPriority w:val="99"/>
    <w:rsid w:val="001F197C"/>
    <w:pPr>
      <w:tabs>
        <w:tab w:val="center" w:pos="4153"/>
        <w:tab w:val="right" w:pos="8306"/>
      </w:tabs>
      <w:snapToGrid w:val="0"/>
      <w:jc w:val="left"/>
    </w:pPr>
    <w:rPr>
      <w:rFonts w:ascii="等线" w:eastAsia="等线" w:hAnsi="等线"/>
      <w:kern w:val="0"/>
      <w:sz w:val="18"/>
      <w:szCs w:val="18"/>
    </w:rPr>
  </w:style>
  <w:style w:type="character" w:customStyle="1" w:styleId="FooterChar">
    <w:name w:val="Footer Char"/>
    <w:basedOn w:val="DefaultParagraphFont"/>
    <w:link w:val="Footer"/>
    <w:uiPriority w:val="99"/>
    <w:locked/>
    <w:rsid w:val="001F197C"/>
    <w:rPr>
      <w:sz w:val="18"/>
    </w:rPr>
  </w:style>
  <w:style w:type="paragraph" w:styleId="Header">
    <w:name w:val="header"/>
    <w:basedOn w:val="Normal"/>
    <w:link w:val="HeaderChar"/>
    <w:uiPriority w:val="99"/>
    <w:rsid w:val="001F197C"/>
    <w:pPr>
      <w:pBdr>
        <w:bottom w:val="single" w:sz="6" w:space="1" w:color="auto"/>
      </w:pBdr>
      <w:tabs>
        <w:tab w:val="center" w:pos="4153"/>
        <w:tab w:val="right" w:pos="8306"/>
      </w:tabs>
      <w:snapToGrid w:val="0"/>
      <w:jc w:val="center"/>
    </w:pPr>
    <w:rPr>
      <w:rFonts w:ascii="等线" w:eastAsia="等线" w:hAnsi="等线"/>
      <w:kern w:val="0"/>
      <w:sz w:val="18"/>
      <w:szCs w:val="18"/>
    </w:rPr>
  </w:style>
  <w:style w:type="character" w:customStyle="1" w:styleId="HeaderChar">
    <w:name w:val="Header Char"/>
    <w:basedOn w:val="DefaultParagraphFont"/>
    <w:link w:val="Header"/>
    <w:uiPriority w:val="99"/>
    <w:locked/>
    <w:rsid w:val="001F197C"/>
    <w:rPr>
      <w:sz w:val="18"/>
    </w:rPr>
  </w:style>
  <w:style w:type="character" w:customStyle="1" w:styleId="Char">
    <w:name w:val="公文主体 Char"/>
    <w:link w:val="a"/>
    <w:uiPriority w:val="99"/>
    <w:locked/>
    <w:rsid w:val="001F197C"/>
    <w:rPr>
      <w:rFonts w:eastAsia="仿宋_GB2312"/>
      <w:sz w:val="32"/>
    </w:rPr>
  </w:style>
  <w:style w:type="paragraph" w:customStyle="1" w:styleId="a">
    <w:name w:val="公文主体"/>
    <w:basedOn w:val="Normal"/>
    <w:link w:val="Char"/>
    <w:uiPriority w:val="99"/>
    <w:rsid w:val="001F197C"/>
    <w:pPr>
      <w:spacing w:line="580" w:lineRule="exact"/>
      <w:ind w:firstLineChars="200" w:firstLine="200"/>
    </w:pPr>
    <w:rPr>
      <w:rFonts w:ascii="等线" w:eastAsia="仿宋_GB2312" w:hAnsi="等线"/>
      <w:kern w:val="0"/>
      <w:sz w:val="32"/>
      <w:szCs w:val="20"/>
    </w:rPr>
  </w:style>
  <w:style w:type="character" w:styleId="PageNumber">
    <w:name w:val="page number"/>
    <w:basedOn w:val="DefaultParagraphFont"/>
    <w:uiPriority w:val="99"/>
    <w:rsid w:val="00952858"/>
    <w:rPr>
      <w:rFonts w:cs="Times New Roman"/>
    </w:rPr>
  </w:style>
  <w:style w:type="paragraph" w:styleId="BalloonText">
    <w:name w:val="Balloon Text"/>
    <w:basedOn w:val="Normal"/>
    <w:link w:val="BalloonTextChar"/>
    <w:uiPriority w:val="99"/>
    <w:semiHidden/>
    <w:rsid w:val="00126D10"/>
    <w:rPr>
      <w:kern w:val="0"/>
      <w:sz w:val="18"/>
      <w:szCs w:val="18"/>
    </w:rPr>
  </w:style>
  <w:style w:type="character" w:customStyle="1" w:styleId="BalloonTextChar">
    <w:name w:val="Balloon Text Char"/>
    <w:basedOn w:val="DefaultParagraphFont"/>
    <w:link w:val="BalloonText"/>
    <w:uiPriority w:val="99"/>
    <w:semiHidden/>
    <w:locked/>
    <w:rsid w:val="00126D10"/>
    <w:rPr>
      <w:rFonts w:ascii="Times New Roman" w:eastAsia="宋体" w:hAnsi="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8</Pages>
  <Words>533</Words>
  <Characters>3042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16</cp:revision>
  <cp:lastPrinted>2021-09-13T08:32:00Z</cp:lastPrinted>
  <dcterms:created xsi:type="dcterms:W3CDTF">2021-09-10T08:08:00Z</dcterms:created>
  <dcterms:modified xsi:type="dcterms:W3CDTF">2022-08-29T07:42:00Z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